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ECC2885">
      <w:pPr>
        <w:ind w:right="-382"/>
      </w:pPr>
    </w:p>
    <w:p w14:paraId="03FC6C33">
      <w:pPr>
        <w:ind w:right="-382"/>
      </w:pPr>
      <w:r>
        <w:drawing>
          <wp:inline distT="0" distB="0" distL="114300" distR="114300">
            <wp:extent cx="2838450" cy="462915"/>
            <wp:effectExtent l="0" t="0" r="6350" b="698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8"/>
                    <a:stretch>
                      <a:fillRect/>
                    </a:stretch>
                  </pic:blipFill>
                  <pic:spPr>
                    <a:xfrm>
                      <a:off x="0" y="0"/>
                      <a:ext cx="2838450" cy="462915"/>
                    </a:xfrm>
                    <a:prstGeom prst="rect">
                      <a:avLst/>
                    </a:prstGeom>
                    <a:noFill/>
                    <a:ln>
                      <a:noFill/>
                    </a:ln>
                  </pic:spPr>
                </pic:pic>
              </a:graphicData>
            </a:graphic>
          </wp:inline>
        </w:drawing>
      </w:r>
    </w:p>
    <w:p w14:paraId="106AC9E9">
      <w:pPr>
        <w:ind w:firstLine="723" w:firstLineChars="100"/>
        <w:rPr>
          <w:rFonts w:ascii="仿宋" w:hAnsi="仿宋" w:eastAsia="仿宋"/>
          <w:b/>
          <w:color w:val="000000"/>
          <w:sz w:val="72"/>
          <w:szCs w:val="72"/>
        </w:rPr>
      </w:pPr>
      <w:r>
        <w:rPr>
          <w:rFonts w:hint="eastAsia" w:ascii="宋体" w:hAnsi="宋体" w:eastAsia="仿宋"/>
          <w:b/>
          <w:sz w:val="72"/>
          <w:szCs w:val="72"/>
        </w:rPr>
        <w:t>燎原电缆集团有限公司</w:t>
      </w:r>
    </w:p>
    <w:p w14:paraId="5BCA90BE">
      <w:pPr>
        <w:rPr>
          <w:b/>
          <w:color w:val="000000"/>
        </w:rPr>
      </w:pPr>
    </w:p>
    <w:p w14:paraId="6F4C60C3">
      <w:pPr>
        <w:rPr>
          <w:b/>
          <w:color w:val="000000"/>
          <w:kern w:val="0"/>
        </w:rPr>
      </w:pPr>
    </w:p>
    <w:p w14:paraId="723A834C">
      <w:pPr>
        <w:jc w:val="center"/>
        <w:rPr>
          <w:rFonts w:ascii="宋体" w:hAnsi="宋体"/>
          <w:b/>
          <w:color w:val="000000"/>
          <w:kern w:val="0"/>
          <w:sz w:val="52"/>
          <w:szCs w:val="52"/>
        </w:rPr>
      </w:pPr>
    </w:p>
    <w:p w14:paraId="3171A95E">
      <w:pPr>
        <w:jc w:val="center"/>
        <w:rPr>
          <w:rFonts w:ascii="宋体" w:hAnsi="宋体"/>
          <w:b/>
          <w:color w:val="000000"/>
          <w:kern w:val="0"/>
          <w:sz w:val="52"/>
          <w:szCs w:val="52"/>
        </w:rPr>
      </w:pPr>
      <w:r>
        <w:rPr>
          <w:rFonts w:hint="eastAsia" w:ascii="宋体" w:hAnsi="宋体"/>
          <w:b/>
          <w:color w:val="000000"/>
          <w:kern w:val="0"/>
          <w:sz w:val="52"/>
          <w:szCs w:val="52"/>
          <w:lang w:eastAsia="zh-CN"/>
        </w:rPr>
        <w:t>2025</w:t>
      </w:r>
      <w:r>
        <w:rPr>
          <w:rFonts w:hint="eastAsia" w:ascii="宋体" w:hAnsi="宋体"/>
          <w:b/>
          <w:color w:val="000000"/>
          <w:kern w:val="0"/>
          <w:sz w:val="52"/>
          <w:szCs w:val="52"/>
        </w:rPr>
        <w:t>年度质量诚信报告</w:t>
      </w:r>
    </w:p>
    <w:p w14:paraId="4EEC27A2">
      <w:pPr>
        <w:spacing w:line="360" w:lineRule="auto"/>
        <w:rPr>
          <w:rFonts w:ascii="宋体" w:hAnsi="宋体"/>
          <w:color w:val="000000"/>
          <w:sz w:val="24"/>
        </w:rPr>
      </w:pPr>
    </w:p>
    <w:p w14:paraId="2077DCAF">
      <w:pPr>
        <w:spacing w:line="360" w:lineRule="auto"/>
        <w:rPr>
          <w:rFonts w:ascii="宋体" w:hAnsi="宋体"/>
          <w:color w:val="000000"/>
          <w:sz w:val="24"/>
        </w:rPr>
      </w:pPr>
    </w:p>
    <w:p w14:paraId="682D13A1">
      <w:pPr>
        <w:spacing w:line="360" w:lineRule="auto"/>
        <w:rPr>
          <w:rFonts w:ascii="宋体" w:hAnsi="宋体"/>
          <w:color w:val="000000"/>
          <w:sz w:val="24"/>
        </w:rPr>
      </w:pPr>
      <w:r>
        <w:rPr>
          <w:rFonts w:hint="eastAsia" w:ascii="宋体" w:hAnsi="宋体" w:cs="宋体"/>
          <w:b/>
          <w:color w:val="17365D"/>
          <w:spacing w:val="56"/>
          <w:sz w:val="72"/>
          <w:szCs w:val="44"/>
        </w:rPr>
        <w:drawing>
          <wp:anchor distT="0" distB="0" distL="114300" distR="114300" simplePos="0" relativeHeight="251662336" behindDoc="0" locked="0" layoutInCell="1" allowOverlap="1">
            <wp:simplePos x="0" y="0"/>
            <wp:positionH relativeFrom="column">
              <wp:posOffset>-117475</wp:posOffset>
            </wp:positionH>
            <wp:positionV relativeFrom="page">
              <wp:posOffset>4438650</wp:posOffset>
            </wp:positionV>
            <wp:extent cx="5434330" cy="3080385"/>
            <wp:effectExtent l="0" t="0" r="39370" b="31115"/>
            <wp:wrapSquare wrapText="bothSides"/>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9"/>
                    <a:stretch>
                      <a:fillRect/>
                    </a:stretch>
                  </pic:blipFill>
                  <pic:spPr>
                    <a:xfrm>
                      <a:off x="0" y="0"/>
                      <a:ext cx="5434330" cy="3080385"/>
                    </a:xfrm>
                    <a:prstGeom prst="rect">
                      <a:avLst/>
                    </a:prstGeom>
                    <a:noFill/>
                    <a:ln>
                      <a:noFill/>
                    </a:ln>
                  </pic:spPr>
                </pic:pic>
              </a:graphicData>
            </a:graphic>
          </wp:anchor>
        </w:drawing>
      </w:r>
    </w:p>
    <w:p w14:paraId="575FE9E2">
      <w:pPr>
        <w:spacing w:line="360" w:lineRule="auto"/>
        <w:jc w:val="center"/>
        <w:rPr>
          <w:rFonts w:ascii="宋体" w:hAnsi="宋体"/>
          <w:b/>
          <w:color w:val="000000"/>
          <w:sz w:val="36"/>
          <w:szCs w:val="36"/>
        </w:rPr>
      </w:pPr>
    </w:p>
    <w:p w14:paraId="4024CD95">
      <w:pPr>
        <w:spacing w:line="360" w:lineRule="auto"/>
        <w:jc w:val="center"/>
        <w:rPr>
          <w:rFonts w:ascii="宋体" w:hAnsi="宋体"/>
          <w:color w:val="000000"/>
          <w:sz w:val="44"/>
          <w:szCs w:val="44"/>
        </w:rPr>
      </w:pPr>
      <w:r>
        <w:rPr>
          <w:rFonts w:hint="eastAsia" w:ascii="宋体" w:hAnsi="宋体"/>
          <w:b/>
          <w:color w:val="000000"/>
          <w:sz w:val="36"/>
          <w:szCs w:val="36"/>
        </w:rPr>
        <w:t>二0二</w:t>
      </w:r>
      <w:r>
        <w:rPr>
          <w:rFonts w:hint="eastAsia" w:ascii="宋体" w:hAnsi="宋体"/>
          <w:b/>
          <w:color w:val="000000"/>
          <w:sz w:val="36"/>
          <w:szCs w:val="36"/>
          <w:lang w:eastAsia="zh-CN"/>
        </w:rPr>
        <w:t>六</w:t>
      </w:r>
      <w:r>
        <w:rPr>
          <w:rFonts w:hint="eastAsia" w:ascii="宋体" w:hAnsi="宋体"/>
          <w:b/>
          <w:color w:val="000000"/>
          <w:sz w:val="36"/>
          <w:szCs w:val="36"/>
        </w:rPr>
        <w:t>年三月</w:t>
      </w:r>
    </w:p>
    <w:p w14:paraId="7A3A86DD">
      <w:pPr>
        <w:ind w:right="-382"/>
      </w:pPr>
    </w:p>
    <w:p w14:paraId="0989D378">
      <w:pPr>
        <w:pStyle w:val="19"/>
        <w:tabs>
          <w:tab w:val="right" w:leader="dot" w:pos="8296"/>
        </w:tabs>
        <w:spacing w:before="78" w:after="78" w:line="276" w:lineRule="auto"/>
        <w:jc w:val="center"/>
        <w:rPr>
          <w:rFonts w:cs="宋体" w:asciiTheme="minorEastAsia" w:hAnsiTheme="minorEastAsia" w:eastAsiaTheme="minorEastAsia"/>
          <w:b/>
          <w:bCs/>
          <w:color w:val="000000" w:themeColor="text1"/>
          <w:kern w:val="32"/>
          <w:sz w:val="44"/>
          <w:szCs w:val="44"/>
        </w:rPr>
        <w:sectPr>
          <w:footerReference r:id="rId5" w:type="first"/>
          <w:headerReference r:id="rId3" w:type="default"/>
          <w:footerReference r:id="rId4" w:type="default"/>
          <w:pgSz w:w="11906" w:h="16838"/>
          <w:pgMar w:top="1440" w:right="1800" w:bottom="1440" w:left="1800" w:header="851" w:footer="992" w:gutter="0"/>
          <w:cols w:space="0" w:num="1"/>
          <w:titlePg/>
          <w:docGrid w:type="lines" w:linePitch="312" w:charSpace="0"/>
        </w:sectPr>
      </w:pPr>
    </w:p>
    <w:p w14:paraId="2BB66276"/>
    <w:p w14:paraId="3712B038">
      <w:pPr>
        <w:pStyle w:val="19"/>
        <w:tabs>
          <w:tab w:val="right" w:leader="dot" w:pos="8296"/>
        </w:tabs>
        <w:spacing w:before="78" w:after="78" w:line="276" w:lineRule="auto"/>
        <w:jc w:val="center"/>
        <w:rPr>
          <w:rFonts w:cs="宋体" w:asciiTheme="minorEastAsia" w:hAnsiTheme="minorEastAsia" w:eastAsiaTheme="minorEastAsia"/>
          <w:b/>
          <w:bCs/>
          <w:color w:val="000000" w:themeColor="text1"/>
          <w:kern w:val="32"/>
          <w:sz w:val="44"/>
          <w:szCs w:val="44"/>
        </w:rPr>
      </w:pPr>
      <w:r>
        <w:rPr>
          <w:rFonts w:hint="eastAsia" w:cs="宋体" w:asciiTheme="minorEastAsia" w:hAnsiTheme="minorEastAsia" w:eastAsiaTheme="minorEastAsia"/>
          <w:b/>
          <w:bCs/>
          <w:color w:val="000000" w:themeColor="text1"/>
          <w:kern w:val="32"/>
          <w:sz w:val="44"/>
          <w:szCs w:val="44"/>
        </w:rPr>
        <w:t>目  录</w:t>
      </w:r>
    </w:p>
    <w:sdt>
      <w:sdtPr>
        <w:rPr>
          <w:rFonts w:ascii="宋体" w:hAnsi="宋体"/>
          <w:szCs w:val="21"/>
        </w:rPr>
        <w:id w:val="147467774"/>
        <w:docPartObj>
          <w:docPartGallery w:val="Table of Contents"/>
          <w:docPartUnique/>
        </w:docPartObj>
      </w:sdtPr>
      <w:sdtEndPr>
        <w:rPr>
          <w:rFonts w:asciiTheme="minorEastAsia" w:hAnsiTheme="minorEastAsia" w:eastAsiaTheme="minorEastAsia"/>
          <w:b/>
          <w:color w:val="000000" w:themeColor="text1"/>
          <w:szCs w:val="28"/>
        </w:rPr>
      </w:sdtEndPr>
      <w:sdtContent>
        <w:p w14:paraId="24DE0CCC">
          <w:pPr>
            <w:jc w:val="center"/>
          </w:pPr>
          <w:r>
            <w:rPr>
              <w:rFonts w:hint="eastAsia" w:ascii="宋体" w:hAnsi="宋体"/>
            </w:rPr>
            <w:t xml:space="preserve"> </w:t>
          </w:r>
        </w:p>
        <w:p w14:paraId="54D7DDFD">
          <w:pPr>
            <w:pStyle w:val="115"/>
            <w:tabs>
              <w:tab w:val="right" w:leader="dot" w:pos="8306"/>
            </w:tabs>
            <w:spacing w:line="360" w:lineRule="auto"/>
            <w:rPr>
              <w:b/>
              <w:sz w:val="24"/>
              <w:szCs w:val="24"/>
            </w:rPr>
          </w:pPr>
          <w:r>
            <w:rPr>
              <w:rFonts w:asciiTheme="minorEastAsia" w:hAnsiTheme="minorEastAsia" w:eastAsiaTheme="minorEastAsia"/>
              <w:color w:val="000000" w:themeColor="text1"/>
              <w:sz w:val="28"/>
              <w:szCs w:val="28"/>
            </w:rPr>
            <w:fldChar w:fldCharType="begin"/>
          </w:r>
          <w:r>
            <w:rPr>
              <w:rFonts w:asciiTheme="minorEastAsia" w:hAnsiTheme="minorEastAsia" w:eastAsiaTheme="minorEastAsia"/>
              <w:color w:val="000000" w:themeColor="text1"/>
              <w:sz w:val="28"/>
              <w:szCs w:val="28"/>
            </w:rPr>
            <w:instrText xml:space="preserve">TOC \o "1-2" \h \u </w:instrText>
          </w:r>
          <w:r>
            <w:rPr>
              <w:rFonts w:asciiTheme="minorEastAsia" w:hAnsiTheme="minorEastAsia" w:eastAsiaTheme="minorEastAsia"/>
              <w:color w:val="000000" w:themeColor="text1"/>
              <w:sz w:val="28"/>
              <w:szCs w:val="28"/>
            </w:rPr>
            <w:fldChar w:fldCharType="separate"/>
          </w:r>
          <w:r>
            <w:fldChar w:fldCharType="begin"/>
          </w:r>
          <w:r>
            <w:instrText xml:space="preserve"> HYPERLINK \l "_Toc20185" </w:instrText>
          </w:r>
          <w:r>
            <w:fldChar w:fldCharType="separate"/>
          </w:r>
          <w:r>
            <w:rPr>
              <w:rFonts w:hint="eastAsia" w:cs="宋体" w:asciiTheme="minorEastAsia" w:hAnsiTheme="minorEastAsia" w:eastAsiaTheme="minorEastAsia"/>
              <w:b/>
              <w:bCs/>
              <w:kern w:val="32"/>
              <w:sz w:val="24"/>
              <w:szCs w:val="24"/>
            </w:rPr>
            <w:t>前  言</w:t>
          </w:r>
          <w:r>
            <w:rPr>
              <w:b/>
              <w:sz w:val="24"/>
              <w:szCs w:val="24"/>
            </w:rPr>
            <w:tab/>
          </w:r>
          <w:r>
            <w:rPr>
              <w:b/>
              <w:sz w:val="24"/>
              <w:szCs w:val="24"/>
            </w:rPr>
            <w:fldChar w:fldCharType="begin"/>
          </w:r>
          <w:r>
            <w:rPr>
              <w:b/>
              <w:sz w:val="24"/>
              <w:szCs w:val="24"/>
            </w:rPr>
            <w:instrText xml:space="preserve"> PAGEREF _Toc20185 </w:instrText>
          </w:r>
          <w:r>
            <w:rPr>
              <w:b/>
              <w:sz w:val="24"/>
              <w:szCs w:val="24"/>
            </w:rPr>
            <w:fldChar w:fldCharType="separate"/>
          </w:r>
          <w:r>
            <w:rPr>
              <w:b/>
              <w:sz w:val="24"/>
              <w:szCs w:val="24"/>
            </w:rPr>
            <w:t>3</w:t>
          </w:r>
          <w:r>
            <w:rPr>
              <w:b/>
              <w:sz w:val="24"/>
              <w:szCs w:val="24"/>
            </w:rPr>
            <w:fldChar w:fldCharType="end"/>
          </w:r>
          <w:r>
            <w:rPr>
              <w:b/>
              <w:sz w:val="24"/>
              <w:szCs w:val="24"/>
            </w:rPr>
            <w:fldChar w:fldCharType="end"/>
          </w:r>
        </w:p>
        <w:p w14:paraId="661B0D6B">
          <w:pPr>
            <w:pStyle w:val="115"/>
            <w:tabs>
              <w:tab w:val="right" w:leader="dot" w:pos="8306"/>
            </w:tabs>
            <w:spacing w:line="360" w:lineRule="auto"/>
            <w:rPr>
              <w:b/>
              <w:sz w:val="24"/>
              <w:szCs w:val="24"/>
            </w:rPr>
          </w:pPr>
          <w:r>
            <w:fldChar w:fldCharType="begin"/>
          </w:r>
          <w:r>
            <w:instrText xml:space="preserve"> HYPERLINK \l "_Toc5537" </w:instrText>
          </w:r>
          <w:r>
            <w:fldChar w:fldCharType="separate"/>
          </w:r>
          <w:r>
            <w:rPr>
              <w:rFonts w:hint="eastAsia" w:asciiTheme="minorEastAsia" w:hAnsiTheme="minorEastAsia" w:eastAsiaTheme="minorEastAsia"/>
              <w:b/>
              <w:sz w:val="24"/>
              <w:szCs w:val="24"/>
            </w:rPr>
            <w:t>一、公司简介</w:t>
          </w:r>
          <w:r>
            <w:rPr>
              <w:b/>
              <w:sz w:val="24"/>
              <w:szCs w:val="24"/>
            </w:rPr>
            <w:tab/>
          </w:r>
          <w:r>
            <w:rPr>
              <w:b/>
              <w:sz w:val="24"/>
              <w:szCs w:val="24"/>
            </w:rPr>
            <w:fldChar w:fldCharType="begin"/>
          </w:r>
          <w:r>
            <w:rPr>
              <w:b/>
              <w:sz w:val="24"/>
              <w:szCs w:val="24"/>
            </w:rPr>
            <w:instrText xml:space="preserve"> PAGEREF _Toc5537 </w:instrText>
          </w:r>
          <w:r>
            <w:rPr>
              <w:b/>
              <w:sz w:val="24"/>
              <w:szCs w:val="24"/>
            </w:rPr>
            <w:fldChar w:fldCharType="separate"/>
          </w:r>
          <w:r>
            <w:rPr>
              <w:b/>
              <w:sz w:val="24"/>
              <w:szCs w:val="24"/>
            </w:rPr>
            <w:t>5</w:t>
          </w:r>
          <w:r>
            <w:rPr>
              <w:b/>
              <w:sz w:val="24"/>
              <w:szCs w:val="24"/>
            </w:rPr>
            <w:fldChar w:fldCharType="end"/>
          </w:r>
          <w:r>
            <w:rPr>
              <w:b/>
              <w:sz w:val="24"/>
              <w:szCs w:val="24"/>
            </w:rPr>
            <w:fldChar w:fldCharType="end"/>
          </w:r>
        </w:p>
        <w:p w14:paraId="0C5A8A1A">
          <w:pPr>
            <w:pStyle w:val="115"/>
            <w:tabs>
              <w:tab w:val="right" w:leader="dot" w:pos="8306"/>
            </w:tabs>
            <w:spacing w:line="360" w:lineRule="auto"/>
            <w:rPr>
              <w:b/>
              <w:sz w:val="24"/>
              <w:szCs w:val="24"/>
            </w:rPr>
          </w:pPr>
          <w:r>
            <w:fldChar w:fldCharType="begin"/>
          </w:r>
          <w:r>
            <w:instrText xml:space="preserve"> HYPERLINK \l "_Toc17718" </w:instrText>
          </w:r>
          <w:r>
            <w:fldChar w:fldCharType="separate"/>
          </w:r>
          <w:r>
            <w:rPr>
              <w:rFonts w:hint="eastAsia" w:asciiTheme="minorEastAsia" w:hAnsiTheme="minorEastAsia" w:eastAsiaTheme="minorEastAsia"/>
              <w:b/>
              <w:sz w:val="24"/>
              <w:szCs w:val="24"/>
            </w:rPr>
            <w:t>二、企业质量理念</w:t>
          </w:r>
          <w:r>
            <w:rPr>
              <w:b/>
              <w:sz w:val="24"/>
              <w:szCs w:val="24"/>
            </w:rPr>
            <w:tab/>
          </w:r>
          <w:r>
            <w:rPr>
              <w:b/>
              <w:sz w:val="24"/>
              <w:szCs w:val="24"/>
            </w:rPr>
            <w:fldChar w:fldCharType="begin"/>
          </w:r>
          <w:r>
            <w:rPr>
              <w:b/>
              <w:sz w:val="24"/>
              <w:szCs w:val="24"/>
            </w:rPr>
            <w:instrText xml:space="preserve"> PAGEREF _Toc17718 </w:instrText>
          </w:r>
          <w:r>
            <w:rPr>
              <w:b/>
              <w:sz w:val="24"/>
              <w:szCs w:val="24"/>
            </w:rPr>
            <w:fldChar w:fldCharType="separate"/>
          </w:r>
          <w:r>
            <w:rPr>
              <w:b/>
              <w:sz w:val="24"/>
              <w:szCs w:val="24"/>
            </w:rPr>
            <w:t>6</w:t>
          </w:r>
          <w:r>
            <w:rPr>
              <w:b/>
              <w:sz w:val="24"/>
              <w:szCs w:val="24"/>
            </w:rPr>
            <w:fldChar w:fldCharType="end"/>
          </w:r>
          <w:r>
            <w:rPr>
              <w:b/>
              <w:sz w:val="24"/>
              <w:szCs w:val="24"/>
            </w:rPr>
            <w:fldChar w:fldCharType="end"/>
          </w:r>
        </w:p>
        <w:p w14:paraId="6336609E">
          <w:pPr>
            <w:pStyle w:val="115"/>
            <w:tabs>
              <w:tab w:val="right" w:leader="dot" w:pos="8306"/>
            </w:tabs>
            <w:spacing w:line="360" w:lineRule="auto"/>
            <w:rPr>
              <w:b/>
              <w:sz w:val="24"/>
              <w:szCs w:val="24"/>
            </w:rPr>
          </w:pPr>
          <w:r>
            <w:fldChar w:fldCharType="begin"/>
          </w:r>
          <w:r>
            <w:instrText xml:space="preserve"> HYPERLINK \l "_Toc8355" </w:instrText>
          </w:r>
          <w:r>
            <w:fldChar w:fldCharType="separate"/>
          </w:r>
          <w:r>
            <w:rPr>
              <w:rFonts w:hint="eastAsia" w:asciiTheme="minorEastAsia" w:hAnsiTheme="minorEastAsia" w:eastAsiaTheme="minorEastAsia"/>
              <w:b/>
              <w:sz w:val="24"/>
              <w:szCs w:val="24"/>
            </w:rPr>
            <w:t>三、企业质量管理</w:t>
          </w:r>
          <w:r>
            <w:rPr>
              <w:b/>
              <w:sz w:val="24"/>
              <w:szCs w:val="24"/>
            </w:rPr>
            <w:tab/>
          </w:r>
          <w:r>
            <w:rPr>
              <w:b/>
              <w:sz w:val="24"/>
              <w:szCs w:val="24"/>
            </w:rPr>
            <w:fldChar w:fldCharType="begin"/>
          </w:r>
          <w:r>
            <w:rPr>
              <w:b/>
              <w:sz w:val="24"/>
              <w:szCs w:val="24"/>
            </w:rPr>
            <w:instrText xml:space="preserve"> PAGEREF _Toc8355 </w:instrText>
          </w:r>
          <w:r>
            <w:rPr>
              <w:b/>
              <w:sz w:val="24"/>
              <w:szCs w:val="24"/>
            </w:rPr>
            <w:fldChar w:fldCharType="separate"/>
          </w:r>
          <w:r>
            <w:rPr>
              <w:b/>
              <w:sz w:val="24"/>
              <w:szCs w:val="24"/>
            </w:rPr>
            <w:t>7</w:t>
          </w:r>
          <w:r>
            <w:rPr>
              <w:b/>
              <w:sz w:val="24"/>
              <w:szCs w:val="24"/>
            </w:rPr>
            <w:fldChar w:fldCharType="end"/>
          </w:r>
          <w:r>
            <w:rPr>
              <w:b/>
              <w:sz w:val="24"/>
              <w:szCs w:val="24"/>
            </w:rPr>
            <w:fldChar w:fldCharType="end"/>
          </w:r>
        </w:p>
        <w:p w14:paraId="3DC7B4FF">
          <w:pPr>
            <w:pStyle w:val="116"/>
            <w:tabs>
              <w:tab w:val="right" w:leader="dot" w:pos="8306"/>
            </w:tabs>
            <w:spacing w:line="360" w:lineRule="auto"/>
            <w:ind w:left="420"/>
            <w:rPr>
              <w:sz w:val="24"/>
              <w:szCs w:val="24"/>
            </w:rPr>
          </w:pPr>
          <w:r>
            <w:fldChar w:fldCharType="begin"/>
          </w:r>
          <w:r>
            <w:instrText xml:space="preserve"> HYPERLINK \l "_Toc8423" </w:instrText>
          </w:r>
          <w:r>
            <w:fldChar w:fldCharType="separate"/>
          </w:r>
          <w:r>
            <w:rPr>
              <w:rFonts w:hint="eastAsia" w:cs="仿宋_GB2312" w:asciiTheme="minorEastAsia" w:hAnsiTheme="minorEastAsia" w:eastAsiaTheme="minorEastAsia"/>
              <w:bCs/>
              <w:sz w:val="24"/>
              <w:szCs w:val="24"/>
            </w:rPr>
            <w:t>（一）质量管理机构</w:t>
          </w:r>
          <w:r>
            <w:rPr>
              <w:sz w:val="24"/>
              <w:szCs w:val="24"/>
            </w:rPr>
            <w:tab/>
          </w:r>
          <w:r>
            <w:rPr>
              <w:sz w:val="24"/>
              <w:szCs w:val="24"/>
            </w:rPr>
            <w:fldChar w:fldCharType="begin"/>
          </w:r>
          <w:r>
            <w:rPr>
              <w:sz w:val="24"/>
              <w:szCs w:val="24"/>
            </w:rPr>
            <w:instrText xml:space="preserve"> PAGEREF _Toc8423 </w:instrText>
          </w:r>
          <w:r>
            <w:rPr>
              <w:sz w:val="24"/>
              <w:szCs w:val="24"/>
            </w:rPr>
            <w:fldChar w:fldCharType="separate"/>
          </w:r>
          <w:r>
            <w:rPr>
              <w:sz w:val="24"/>
              <w:szCs w:val="24"/>
            </w:rPr>
            <w:t>7</w:t>
          </w:r>
          <w:r>
            <w:rPr>
              <w:sz w:val="24"/>
              <w:szCs w:val="24"/>
            </w:rPr>
            <w:fldChar w:fldCharType="end"/>
          </w:r>
          <w:r>
            <w:rPr>
              <w:sz w:val="24"/>
              <w:szCs w:val="24"/>
            </w:rPr>
            <w:fldChar w:fldCharType="end"/>
          </w:r>
        </w:p>
        <w:p w14:paraId="508A6E29">
          <w:pPr>
            <w:pStyle w:val="116"/>
            <w:tabs>
              <w:tab w:val="right" w:leader="dot" w:pos="8306"/>
            </w:tabs>
            <w:spacing w:line="360" w:lineRule="auto"/>
            <w:ind w:left="420"/>
            <w:rPr>
              <w:sz w:val="24"/>
              <w:szCs w:val="24"/>
            </w:rPr>
          </w:pPr>
          <w:r>
            <w:fldChar w:fldCharType="begin"/>
          </w:r>
          <w:r>
            <w:instrText xml:space="preserve"> HYPERLINK \l "_Toc29349" </w:instrText>
          </w:r>
          <w:r>
            <w:fldChar w:fldCharType="separate"/>
          </w:r>
          <w:r>
            <w:rPr>
              <w:rFonts w:hint="eastAsia" w:cs="仿宋_GB2312" w:asciiTheme="minorEastAsia" w:hAnsiTheme="minorEastAsia" w:eastAsiaTheme="minorEastAsia"/>
              <w:sz w:val="24"/>
              <w:szCs w:val="24"/>
            </w:rPr>
            <w:t>（二）质量管理体系</w:t>
          </w:r>
          <w:r>
            <w:rPr>
              <w:sz w:val="24"/>
              <w:szCs w:val="24"/>
            </w:rPr>
            <w:tab/>
          </w:r>
          <w:r>
            <w:rPr>
              <w:sz w:val="24"/>
              <w:szCs w:val="24"/>
            </w:rPr>
            <w:fldChar w:fldCharType="begin"/>
          </w:r>
          <w:r>
            <w:rPr>
              <w:sz w:val="24"/>
              <w:szCs w:val="24"/>
            </w:rPr>
            <w:instrText xml:space="preserve"> PAGEREF _Toc29349 </w:instrText>
          </w:r>
          <w:r>
            <w:rPr>
              <w:sz w:val="24"/>
              <w:szCs w:val="24"/>
            </w:rPr>
            <w:fldChar w:fldCharType="separate"/>
          </w:r>
          <w:r>
            <w:rPr>
              <w:sz w:val="24"/>
              <w:szCs w:val="24"/>
            </w:rPr>
            <w:t>8</w:t>
          </w:r>
          <w:r>
            <w:rPr>
              <w:sz w:val="24"/>
              <w:szCs w:val="24"/>
            </w:rPr>
            <w:fldChar w:fldCharType="end"/>
          </w:r>
          <w:r>
            <w:rPr>
              <w:sz w:val="24"/>
              <w:szCs w:val="24"/>
            </w:rPr>
            <w:fldChar w:fldCharType="end"/>
          </w:r>
        </w:p>
        <w:p w14:paraId="3A0EAF9D">
          <w:pPr>
            <w:pStyle w:val="116"/>
            <w:tabs>
              <w:tab w:val="right" w:leader="dot" w:pos="8306"/>
            </w:tabs>
            <w:spacing w:line="360" w:lineRule="auto"/>
            <w:ind w:left="420"/>
            <w:rPr>
              <w:sz w:val="24"/>
              <w:szCs w:val="24"/>
            </w:rPr>
          </w:pPr>
          <w:r>
            <w:fldChar w:fldCharType="begin"/>
          </w:r>
          <w:r>
            <w:instrText xml:space="preserve"> HYPERLINK \l "_Toc1998" </w:instrText>
          </w:r>
          <w:r>
            <w:fldChar w:fldCharType="separate"/>
          </w:r>
          <w:r>
            <w:rPr>
              <w:rFonts w:hint="eastAsia" w:cs="仿宋_GB2312" w:asciiTheme="minorEastAsia" w:hAnsiTheme="minorEastAsia" w:eastAsiaTheme="minorEastAsia"/>
              <w:bCs/>
              <w:sz w:val="24"/>
              <w:szCs w:val="24"/>
            </w:rPr>
            <w:t>（三）质量安全风险管理</w:t>
          </w:r>
          <w:r>
            <w:rPr>
              <w:sz w:val="24"/>
              <w:szCs w:val="24"/>
            </w:rPr>
            <w:tab/>
          </w:r>
          <w:r>
            <w:rPr>
              <w:sz w:val="24"/>
              <w:szCs w:val="24"/>
            </w:rPr>
            <w:fldChar w:fldCharType="begin"/>
          </w:r>
          <w:r>
            <w:rPr>
              <w:sz w:val="24"/>
              <w:szCs w:val="24"/>
            </w:rPr>
            <w:instrText xml:space="preserve"> PAGEREF _Toc1998 </w:instrText>
          </w:r>
          <w:r>
            <w:rPr>
              <w:sz w:val="24"/>
              <w:szCs w:val="24"/>
            </w:rPr>
            <w:fldChar w:fldCharType="separate"/>
          </w:r>
          <w:r>
            <w:rPr>
              <w:sz w:val="24"/>
              <w:szCs w:val="24"/>
            </w:rPr>
            <w:t>10</w:t>
          </w:r>
          <w:r>
            <w:rPr>
              <w:sz w:val="24"/>
              <w:szCs w:val="24"/>
            </w:rPr>
            <w:fldChar w:fldCharType="end"/>
          </w:r>
          <w:r>
            <w:rPr>
              <w:sz w:val="24"/>
              <w:szCs w:val="24"/>
            </w:rPr>
            <w:fldChar w:fldCharType="end"/>
          </w:r>
        </w:p>
        <w:p w14:paraId="102029B3">
          <w:pPr>
            <w:pStyle w:val="115"/>
            <w:tabs>
              <w:tab w:val="right" w:leader="dot" w:pos="8306"/>
            </w:tabs>
            <w:spacing w:line="360" w:lineRule="auto"/>
            <w:rPr>
              <w:b/>
              <w:sz w:val="24"/>
              <w:szCs w:val="24"/>
            </w:rPr>
          </w:pPr>
          <w:r>
            <w:fldChar w:fldCharType="begin"/>
          </w:r>
          <w:r>
            <w:instrText xml:space="preserve"> HYPERLINK \l "_Toc27223" </w:instrText>
          </w:r>
          <w:r>
            <w:fldChar w:fldCharType="separate"/>
          </w:r>
          <w:r>
            <w:rPr>
              <w:rFonts w:hint="eastAsia" w:cs="仿宋_GB2312" w:asciiTheme="minorEastAsia" w:hAnsiTheme="minorEastAsia" w:eastAsiaTheme="minorEastAsia"/>
              <w:b/>
              <w:bCs/>
              <w:sz w:val="24"/>
              <w:szCs w:val="24"/>
            </w:rPr>
            <w:t>四、质量诚信管理</w:t>
          </w:r>
          <w:r>
            <w:rPr>
              <w:b/>
              <w:sz w:val="24"/>
              <w:szCs w:val="24"/>
            </w:rPr>
            <w:tab/>
          </w:r>
          <w:r>
            <w:rPr>
              <w:b/>
              <w:sz w:val="24"/>
              <w:szCs w:val="24"/>
            </w:rPr>
            <w:fldChar w:fldCharType="begin"/>
          </w:r>
          <w:r>
            <w:rPr>
              <w:b/>
              <w:sz w:val="24"/>
              <w:szCs w:val="24"/>
            </w:rPr>
            <w:instrText xml:space="preserve"> PAGEREF _Toc27223 </w:instrText>
          </w:r>
          <w:r>
            <w:rPr>
              <w:b/>
              <w:sz w:val="24"/>
              <w:szCs w:val="24"/>
            </w:rPr>
            <w:fldChar w:fldCharType="separate"/>
          </w:r>
          <w:r>
            <w:rPr>
              <w:b/>
              <w:sz w:val="24"/>
              <w:szCs w:val="24"/>
            </w:rPr>
            <w:t>11</w:t>
          </w:r>
          <w:r>
            <w:rPr>
              <w:b/>
              <w:sz w:val="24"/>
              <w:szCs w:val="24"/>
            </w:rPr>
            <w:fldChar w:fldCharType="end"/>
          </w:r>
          <w:r>
            <w:rPr>
              <w:b/>
              <w:sz w:val="24"/>
              <w:szCs w:val="24"/>
            </w:rPr>
            <w:fldChar w:fldCharType="end"/>
          </w:r>
        </w:p>
        <w:p w14:paraId="07A6B6D9">
          <w:pPr>
            <w:pStyle w:val="116"/>
            <w:tabs>
              <w:tab w:val="right" w:leader="dot" w:pos="8306"/>
            </w:tabs>
            <w:spacing w:line="360" w:lineRule="auto"/>
            <w:ind w:left="420"/>
            <w:rPr>
              <w:sz w:val="24"/>
              <w:szCs w:val="24"/>
            </w:rPr>
          </w:pPr>
          <w:r>
            <w:fldChar w:fldCharType="begin"/>
          </w:r>
          <w:r>
            <w:instrText xml:space="preserve"> HYPERLINK \l "_Toc32539" </w:instrText>
          </w:r>
          <w:r>
            <w:fldChar w:fldCharType="separate"/>
          </w:r>
          <w:r>
            <w:rPr>
              <w:rFonts w:hint="eastAsia" w:cs="仿宋_GB2312" w:asciiTheme="minorEastAsia" w:hAnsiTheme="minorEastAsia" w:eastAsiaTheme="minorEastAsia"/>
              <w:bCs/>
              <w:sz w:val="24"/>
              <w:szCs w:val="24"/>
            </w:rPr>
            <w:t>（一） 质量承诺</w:t>
          </w:r>
          <w:r>
            <w:rPr>
              <w:sz w:val="24"/>
              <w:szCs w:val="24"/>
            </w:rPr>
            <w:tab/>
          </w:r>
          <w:r>
            <w:rPr>
              <w:sz w:val="24"/>
              <w:szCs w:val="24"/>
            </w:rPr>
            <w:fldChar w:fldCharType="begin"/>
          </w:r>
          <w:r>
            <w:rPr>
              <w:sz w:val="24"/>
              <w:szCs w:val="24"/>
            </w:rPr>
            <w:instrText xml:space="preserve"> PAGEREF _Toc32539 </w:instrText>
          </w:r>
          <w:r>
            <w:rPr>
              <w:sz w:val="24"/>
              <w:szCs w:val="24"/>
            </w:rPr>
            <w:fldChar w:fldCharType="separate"/>
          </w:r>
          <w:r>
            <w:rPr>
              <w:sz w:val="24"/>
              <w:szCs w:val="24"/>
            </w:rPr>
            <w:t>11</w:t>
          </w:r>
          <w:r>
            <w:rPr>
              <w:sz w:val="24"/>
              <w:szCs w:val="24"/>
            </w:rPr>
            <w:fldChar w:fldCharType="end"/>
          </w:r>
          <w:r>
            <w:rPr>
              <w:sz w:val="24"/>
              <w:szCs w:val="24"/>
            </w:rPr>
            <w:fldChar w:fldCharType="end"/>
          </w:r>
        </w:p>
        <w:p w14:paraId="00345A5B">
          <w:pPr>
            <w:pStyle w:val="116"/>
            <w:tabs>
              <w:tab w:val="right" w:leader="dot" w:pos="8306"/>
            </w:tabs>
            <w:spacing w:line="360" w:lineRule="auto"/>
            <w:ind w:left="420"/>
            <w:rPr>
              <w:sz w:val="24"/>
              <w:szCs w:val="24"/>
            </w:rPr>
          </w:pPr>
          <w:r>
            <w:fldChar w:fldCharType="begin"/>
          </w:r>
          <w:r>
            <w:instrText xml:space="preserve"> HYPERLINK \l "_Toc25700" </w:instrText>
          </w:r>
          <w:r>
            <w:fldChar w:fldCharType="separate"/>
          </w:r>
          <w:r>
            <w:rPr>
              <w:rFonts w:hint="eastAsia" w:cs="仿宋_GB2312" w:asciiTheme="minorEastAsia" w:hAnsiTheme="minorEastAsia" w:eastAsiaTheme="minorEastAsia"/>
              <w:bCs/>
              <w:sz w:val="24"/>
              <w:szCs w:val="24"/>
            </w:rPr>
            <w:t>（二）运作管理</w:t>
          </w:r>
          <w:r>
            <w:rPr>
              <w:sz w:val="24"/>
              <w:szCs w:val="24"/>
            </w:rPr>
            <w:tab/>
          </w:r>
          <w:r>
            <w:rPr>
              <w:sz w:val="24"/>
              <w:szCs w:val="24"/>
            </w:rPr>
            <w:fldChar w:fldCharType="begin"/>
          </w:r>
          <w:r>
            <w:rPr>
              <w:sz w:val="24"/>
              <w:szCs w:val="24"/>
            </w:rPr>
            <w:instrText xml:space="preserve"> PAGEREF _Toc25700 </w:instrText>
          </w:r>
          <w:r>
            <w:rPr>
              <w:sz w:val="24"/>
              <w:szCs w:val="24"/>
            </w:rPr>
            <w:fldChar w:fldCharType="separate"/>
          </w:r>
          <w:r>
            <w:rPr>
              <w:sz w:val="24"/>
              <w:szCs w:val="24"/>
            </w:rPr>
            <w:t>11</w:t>
          </w:r>
          <w:r>
            <w:rPr>
              <w:sz w:val="24"/>
              <w:szCs w:val="24"/>
            </w:rPr>
            <w:fldChar w:fldCharType="end"/>
          </w:r>
          <w:r>
            <w:rPr>
              <w:sz w:val="24"/>
              <w:szCs w:val="24"/>
            </w:rPr>
            <w:fldChar w:fldCharType="end"/>
          </w:r>
        </w:p>
        <w:p w14:paraId="26DD5D38">
          <w:pPr>
            <w:pStyle w:val="116"/>
            <w:tabs>
              <w:tab w:val="right" w:leader="dot" w:pos="8306"/>
            </w:tabs>
            <w:spacing w:line="360" w:lineRule="auto"/>
            <w:ind w:left="420"/>
            <w:rPr>
              <w:sz w:val="24"/>
              <w:szCs w:val="24"/>
            </w:rPr>
          </w:pPr>
          <w:r>
            <w:fldChar w:fldCharType="begin"/>
          </w:r>
          <w:r>
            <w:instrText xml:space="preserve"> HYPERLINK \l "_Toc32700" </w:instrText>
          </w:r>
          <w:r>
            <w:fldChar w:fldCharType="separate"/>
          </w:r>
          <w:r>
            <w:rPr>
              <w:rFonts w:hint="eastAsia" w:cs="仿宋_GB2312" w:asciiTheme="minorEastAsia" w:hAnsiTheme="minorEastAsia" w:eastAsiaTheme="minorEastAsia"/>
              <w:bCs/>
              <w:sz w:val="24"/>
              <w:szCs w:val="24"/>
            </w:rPr>
            <w:t>（三）营销管理</w:t>
          </w:r>
          <w:r>
            <w:rPr>
              <w:sz w:val="24"/>
              <w:szCs w:val="24"/>
            </w:rPr>
            <w:tab/>
          </w:r>
          <w:r>
            <w:rPr>
              <w:sz w:val="24"/>
              <w:szCs w:val="24"/>
            </w:rPr>
            <w:fldChar w:fldCharType="begin"/>
          </w:r>
          <w:r>
            <w:rPr>
              <w:sz w:val="24"/>
              <w:szCs w:val="24"/>
            </w:rPr>
            <w:instrText xml:space="preserve"> PAGEREF _Toc32700 </w:instrText>
          </w:r>
          <w:r>
            <w:rPr>
              <w:sz w:val="24"/>
              <w:szCs w:val="24"/>
            </w:rPr>
            <w:fldChar w:fldCharType="separate"/>
          </w:r>
          <w:r>
            <w:rPr>
              <w:sz w:val="24"/>
              <w:szCs w:val="24"/>
            </w:rPr>
            <w:t>12</w:t>
          </w:r>
          <w:r>
            <w:rPr>
              <w:sz w:val="24"/>
              <w:szCs w:val="24"/>
            </w:rPr>
            <w:fldChar w:fldCharType="end"/>
          </w:r>
          <w:r>
            <w:rPr>
              <w:sz w:val="24"/>
              <w:szCs w:val="24"/>
            </w:rPr>
            <w:fldChar w:fldCharType="end"/>
          </w:r>
        </w:p>
        <w:p w14:paraId="4CC1EE3D">
          <w:pPr>
            <w:pStyle w:val="115"/>
            <w:tabs>
              <w:tab w:val="right" w:leader="dot" w:pos="8306"/>
            </w:tabs>
            <w:spacing w:line="360" w:lineRule="auto"/>
            <w:rPr>
              <w:b/>
              <w:sz w:val="24"/>
              <w:szCs w:val="24"/>
            </w:rPr>
          </w:pPr>
          <w:r>
            <w:fldChar w:fldCharType="begin"/>
          </w:r>
          <w:r>
            <w:instrText xml:space="preserve"> HYPERLINK \l "_Toc27215" </w:instrText>
          </w:r>
          <w:r>
            <w:fldChar w:fldCharType="separate"/>
          </w:r>
          <w:r>
            <w:rPr>
              <w:rFonts w:hint="eastAsia" w:cs="仿宋_GB2312" w:asciiTheme="minorEastAsia" w:hAnsiTheme="minorEastAsia" w:eastAsiaTheme="minorEastAsia"/>
              <w:b/>
              <w:sz w:val="24"/>
              <w:szCs w:val="24"/>
            </w:rPr>
            <w:t>五、质量管理基础</w:t>
          </w:r>
          <w:r>
            <w:rPr>
              <w:b/>
              <w:sz w:val="24"/>
              <w:szCs w:val="24"/>
            </w:rPr>
            <w:tab/>
          </w:r>
          <w:r>
            <w:rPr>
              <w:b/>
              <w:sz w:val="24"/>
              <w:szCs w:val="24"/>
            </w:rPr>
            <w:fldChar w:fldCharType="begin"/>
          </w:r>
          <w:r>
            <w:rPr>
              <w:b/>
              <w:sz w:val="24"/>
              <w:szCs w:val="24"/>
            </w:rPr>
            <w:instrText xml:space="preserve"> PAGEREF _Toc27215 </w:instrText>
          </w:r>
          <w:r>
            <w:rPr>
              <w:b/>
              <w:sz w:val="24"/>
              <w:szCs w:val="24"/>
            </w:rPr>
            <w:fldChar w:fldCharType="separate"/>
          </w:r>
          <w:r>
            <w:rPr>
              <w:b/>
              <w:sz w:val="24"/>
              <w:szCs w:val="24"/>
            </w:rPr>
            <w:t>13</w:t>
          </w:r>
          <w:r>
            <w:rPr>
              <w:b/>
              <w:sz w:val="24"/>
              <w:szCs w:val="24"/>
            </w:rPr>
            <w:fldChar w:fldCharType="end"/>
          </w:r>
          <w:r>
            <w:rPr>
              <w:b/>
              <w:sz w:val="24"/>
              <w:szCs w:val="24"/>
            </w:rPr>
            <w:fldChar w:fldCharType="end"/>
          </w:r>
        </w:p>
        <w:p w14:paraId="412B6A17">
          <w:pPr>
            <w:pStyle w:val="116"/>
            <w:tabs>
              <w:tab w:val="right" w:leader="dot" w:pos="8306"/>
            </w:tabs>
            <w:spacing w:line="360" w:lineRule="auto"/>
            <w:ind w:left="420"/>
            <w:rPr>
              <w:sz w:val="24"/>
              <w:szCs w:val="24"/>
            </w:rPr>
          </w:pPr>
          <w:r>
            <w:fldChar w:fldCharType="begin"/>
          </w:r>
          <w:r>
            <w:instrText xml:space="preserve"> HYPERLINK \l "_Toc23093" </w:instrText>
          </w:r>
          <w:r>
            <w:fldChar w:fldCharType="separate"/>
          </w:r>
          <w:r>
            <w:rPr>
              <w:rFonts w:hint="eastAsia" w:cs="仿宋_GB2312" w:asciiTheme="minorEastAsia" w:hAnsiTheme="minorEastAsia" w:eastAsiaTheme="minorEastAsia"/>
              <w:bCs/>
              <w:sz w:val="24"/>
              <w:szCs w:val="24"/>
            </w:rPr>
            <w:t>（一）标准管理</w:t>
          </w:r>
          <w:r>
            <w:rPr>
              <w:sz w:val="24"/>
              <w:szCs w:val="24"/>
            </w:rPr>
            <w:tab/>
          </w:r>
          <w:r>
            <w:rPr>
              <w:sz w:val="24"/>
              <w:szCs w:val="24"/>
            </w:rPr>
            <w:fldChar w:fldCharType="begin"/>
          </w:r>
          <w:r>
            <w:rPr>
              <w:sz w:val="24"/>
              <w:szCs w:val="24"/>
            </w:rPr>
            <w:instrText xml:space="preserve"> PAGEREF _Toc23093 </w:instrText>
          </w:r>
          <w:r>
            <w:rPr>
              <w:sz w:val="24"/>
              <w:szCs w:val="24"/>
            </w:rPr>
            <w:fldChar w:fldCharType="separate"/>
          </w:r>
          <w:r>
            <w:rPr>
              <w:sz w:val="24"/>
              <w:szCs w:val="24"/>
            </w:rPr>
            <w:t>13</w:t>
          </w:r>
          <w:r>
            <w:rPr>
              <w:sz w:val="24"/>
              <w:szCs w:val="24"/>
            </w:rPr>
            <w:fldChar w:fldCharType="end"/>
          </w:r>
          <w:r>
            <w:rPr>
              <w:sz w:val="24"/>
              <w:szCs w:val="24"/>
            </w:rPr>
            <w:fldChar w:fldCharType="end"/>
          </w:r>
        </w:p>
        <w:p w14:paraId="44A88473">
          <w:pPr>
            <w:pStyle w:val="116"/>
            <w:tabs>
              <w:tab w:val="right" w:leader="dot" w:pos="8306"/>
            </w:tabs>
            <w:spacing w:line="360" w:lineRule="auto"/>
            <w:ind w:left="420"/>
            <w:rPr>
              <w:sz w:val="24"/>
              <w:szCs w:val="24"/>
            </w:rPr>
          </w:pPr>
          <w:r>
            <w:fldChar w:fldCharType="begin"/>
          </w:r>
          <w:r>
            <w:instrText xml:space="preserve"> HYPERLINK \l "_Toc2897" </w:instrText>
          </w:r>
          <w:r>
            <w:fldChar w:fldCharType="separate"/>
          </w:r>
          <w:r>
            <w:rPr>
              <w:rFonts w:hint="eastAsia" w:cs="仿宋_GB2312" w:asciiTheme="minorEastAsia" w:hAnsiTheme="minorEastAsia" w:eastAsiaTheme="minorEastAsia"/>
              <w:bCs/>
              <w:sz w:val="24"/>
              <w:szCs w:val="24"/>
            </w:rPr>
            <w:t>（二）计量管理</w:t>
          </w:r>
          <w:r>
            <w:rPr>
              <w:sz w:val="24"/>
              <w:szCs w:val="24"/>
            </w:rPr>
            <w:tab/>
          </w:r>
          <w:r>
            <w:rPr>
              <w:sz w:val="24"/>
              <w:szCs w:val="24"/>
            </w:rPr>
            <w:fldChar w:fldCharType="begin"/>
          </w:r>
          <w:r>
            <w:rPr>
              <w:sz w:val="24"/>
              <w:szCs w:val="24"/>
            </w:rPr>
            <w:instrText xml:space="preserve"> PAGEREF _Toc2897 </w:instrText>
          </w:r>
          <w:r>
            <w:rPr>
              <w:sz w:val="24"/>
              <w:szCs w:val="24"/>
            </w:rPr>
            <w:fldChar w:fldCharType="separate"/>
          </w:r>
          <w:r>
            <w:rPr>
              <w:sz w:val="24"/>
              <w:szCs w:val="24"/>
            </w:rPr>
            <w:t>13</w:t>
          </w:r>
          <w:r>
            <w:rPr>
              <w:sz w:val="24"/>
              <w:szCs w:val="24"/>
            </w:rPr>
            <w:fldChar w:fldCharType="end"/>
          </w:r>
          <w:r>
            <w:rPr>
              <w:sz w:val="24"/>
              <w:szCs w:val="24"/>
            </w:rPr>
            <w:fldChar w:fldCharType="end"/>
          </w:r>
        </w:p>
        <w:p w14:paraId="1C5875ED">
          <w:pPr>
            <w:pStyle w:val="116"/>
            <w:tabs>
              <w:tab w:val="right" w:leader="dot" w:pos="8306"/>
            </w:tabs>
            <w:spacing w:line="360" w:lineRule="auto"/>
            <w:ind w:left="420"/>
            <w:rPr>
              <w:sz w:val="24"/>
              <w:szCs w:val="24"/>
            </w:rPr>
          </w:pPr>
          <w:r>
            <w:fldChar w:fldCharType="begin"/>
          </w:r>
          <w:r>
            <w:instrText xml:space="preserve"> HYPERLINK \l "_Toc1664" </w:instrText>
          </w:r>
          <w:r>
            <w:fldChar w:fldCharType="separate"/>
          </w:r>
          <w:r>
            <w:rPr>
              <w:rFonts w:hint="eastAsia" w:cs="仿宋_GB2312" w:asciiTheme="minorEastAsia" w:hAnsiTheme="minorEastAsia" w:eastAsiaTheme="minorEastAsia"/>
              <w:bCs/>
              <w:sz w:val="24"/>
              <w:szCs w:val="24"/>
            </w:rPr>
            <w:t>（三）认证管理</w:t>
          </w:r>
          <w:r>
            <w:rPr>
              <w:sz w:val="24"/>
              <w:szCs w:val="24"/>
            </w:rPr>
            <w:tab/>
          </w:r>
          <w:r>
            <w:rPr>
              <w:sz w:val="24"/>
              <w:szCs w:val="24"/>
            </w:rPr>
            <w:fldChar w:fldCharType="begin"/>
          </w:r>
          <w:r>
            <w:rPr>
              <w:sz w:val="24"/>
              <w:szCs w:val="24"/>
            </w:rPr>
            <w:instrText xml:space="preserve"> PAGEREF _Toc1664 </w:instrText>
          </w:r>
          <w:r>
            <w:rPr>
              <w:sz w:val="24"/>
              <w:szCs w:val="24"/>
            </w:rPr>
            <w:fldChar w:fldCharType="separate"/>
          </w:r>
          <w:r>
            <w:rPr>
              <w:sz w:val="24"/>
              <w:szCs w:val="24"/>
            </w:rPr>
            <w:t>13</w:t>
          </w:r>
          <w:r>
            <w:rPr>
              <w:sz w:val="24"/>
              <w:szCs w:val="24"/>
            </w:rPr>
            <w:fldChar w:fldCharType="end"/>
          </w:r>
          <w:r>
            <w:rPr>
              <w:sz w:val="24"/>
              <w:szCs w:val="24"/>
            </w:rPr>
            <w:fldChar w:fldCharType="end"/>
          </w:r>
        </w:p>
        <w:p w14:paraId="7051534F">
          <w:pPr>
            <w:pStyle w:val="116"/>
            <w:tabs>
              <w:tab w:val="right" w:leader="dot" w:pos="8306"/>
            </w:tabs>
            <w:spacing w:line="360" w:lineRule="auto"/>
            <w:ind w:left="420"/>
            <w:rPr>
              <w:sz w:val="24"/>
              <w:szCs w:val="24"/>
            </w:rPr>
          </w:pPr>
          <w:r>
            <w:fldChar w:fldCharType="begin"/>
          </w:r>
          <w:r>
            <w:instrText xml:space="preserve"> HYPERLINK \l "_Toc30368" </w:instrText>
          </w:r>
          <w:r>
            <w:fldChar w:fldCharType="separate"/>
          </w:r>
          <w:r>
            <w:rPr>
              <w:rFonts w:hint="eastAsia" w:cs="仿宋_GB2312" w:asciiTheme="minorEastAsia" w:hAnsiTheme="minorEastAsia" w:eastAsiaTheme="minorEastAsia"/>
              <w:bCs/>
              <w:sz w:val="24"/>
              <w:szCs w:val="24"/>
            </w:rPr>
            <w:t>（四）检验检测管理</w:t>
          </w:r>
          <w:r>
            <w:rPr>
              <w:sz w:val="24"/>
              <w:szCs w:val="24"/>
            </w:rPr>
            <w:tab/>
          </w:r>
          <w:r>
            <w:rPr>
              <w:sz w:val="24"/>
              <w:szCs w:val="24"/>
            </w:rPr>
            <w:fldChar w:fldCharType="begin"/>
          </w:r>
          <w:r>
            <w:rPr>
              <w:sz w:val="24"/>
              <w:szCs w:val="24"/>
            </w:rPr>
            <w:instrText xml:space="preserve"> PAGEREF _Toc30368 </w:instrText>
          </w:r>
          <w:r>
            <w:rPr>
              <w:sz w:val="24"/>
              <w:szCs w:val="24"/>
            </w:rPr>
            <w:fldChar w:fldCharType="separate"/>
          </w:r>
          <w:r>
            <w:rPr>
              <w:sz w:val="24"/>
              <w:szCs w:val="24"/>
            </w:rPr>
            <w:t>14</w:t>
          </w:r>
          <w:r>
            <w:rPr>
              <w:sz w:val="24"/>
              <w:szCs w:val="24"/>
            </w:rPr>
            <w:fldChar w:fldCharType="end"/>
          </w:r>
          <w:r>
            <w:rPr>
              <w:sz w:val="24"/>
              <w:szCs w:val="24"/>
            </w:rPr>
            <w:fldChar w:fldCharType="end"/>
          </w:r>
        </w:p>
        <w:p w14:paraId="079E7ECB">
          <w:pPr>
            <w:pStyle w:val="115"/>
            <w:tabs>
              <w:tab w:val="right" w:leader="dot" w:pos="8306"/>
            </w:tabs>
            <w:spacing w:line="360" w:lineRule="auto"/>
            <w:rPr>
              <w:b/>
              <w:sz w:val="24"/>
              <w:szCs w:val="24"/>
            </w:rPr>
          </w:pPr>
          <w:r>
            <w:fldChar w:fldCharType="begin"/>
          </w:r>
          <w:r>
            <w:instrText xml:space="preserve"> HYPERLINK \l "_Toc6573" </w:instrText>
          </w:r>
          <w:r>
            <w:fldChar w:fldCharType="separate"/>
          </w:r>
          <w:r>
            <w:rPr>
              <w:rFonts w:hint="eastAsia" w:cs="仿宋_GB2312" w:asciiTheme="minorEastAsia" w:hAnsiTheme="minorEastAsia" w:eastAsiaTheme="minorEastAsia"/>
              <w:b/>
              <w:sz w:val="24"/>
              <w:szCs w:val="24"/>
            </w:rPr>
            <w:t>六、产品质量责任</w:t>
          </w:r>
          <w:r>
            <w:rPr>
              <w:b/>
              <w:sz w:val="24"/>
              <w:szCs w:val="24"/>
            </w:rPr>
            <w:tab/>
          </w:r>
          <w:r>
            <w:rPr>
              <w:b/>
              <w:sz w:val="24"/>
              <w:szCs w:val="24"/>
            </w:rPr>
            <w:fldChar w:fldCharType="begin"/>
          </w:r>
          <w:r>
            <w:rPr>
              <w:b/>
              <w:sz w:val="24"/>
              <w:szCs w:val="24"/>
            </w:rPr>
            <w:instrText xml:space="preserve"> PAGEREF _Toc6573 </w:instrText>
          </w:r>
          <w:r>
            <w:rPr>
              <w:b/>
              <w:sz w:val="24"/>
              <w:szCs w:val="24"/>
            </w:rPr>
            <w:fldChar w:fldCharType="separate"/>
          </w:r>
          <w:r>
            <w:rPr>
              <w:b/>
              <w:sz w:val="24"/>
              <w:szCs w:val="24"/>
            </w:rPr>
            <w:t>17</w:t>
          </w:r>
          <w:r>
            <w:rPr>
              <w:b/>
              <w:sz w:val="24"/>
              <w:szCs w:val="24"/>
            </w:rPr>
            <w:fldChar w:fldCharType="end"/>
          </w:r>
          <w:r>
            <w:rPr>
              <w:b/>
              <w:sz w:val="24"/>
              <w:szCs w:val="24"/>
            </w:rPr>
            <w:fldChar w:fldCharType="end"/>
          </w:r>
        </w:p>
        <w:p w14:paraId="3C015DF0">
          <w:pPr>
            <w:pStyle w:val="116"/>
            <w:tabs>
              <w:tab w:val="right" w:leader="dot" w:pos="8306"/>
            </w:tabs>
            <w:spacing w:line="360" w:lineRule="auto"/>
            <w:ind w:left="420"/>
            <w:rPr>
              <w:sz w:val="24"/>
              <w:szCs w:val="24"/>
            </w:rPr>
          </w:pPr>
          <w:r>
            <w:fldChar w:fldCharType="begin"/>
          </w:r>
          <w:r>
            <w:instrText xml:space="preserve"> HYPERLINK \l "_Toc19692" </w:instrText>
          </w:r>
          <w:r>
            <w:fldChar w:fldCharType="separate"/>
          </w:r>
          <w:r>
            <w:rPr>
              <w:rFonts w:hint="eastAsia" w:cs="仿宋_GB2312" w:asciiTheme="minorEastAsia" w:hAnsiTheme="minorEastAsia" w:eastAsiaTheme="minorEastAsia"/>
              <w:bCs/>
              <w:sz w:val="24"/>
              <w:szCs w:val="24"/>
            </w:rPr>
            <w:t>（一）产品质量水平</w:t>
          </w:r>
          <w:r>
            <w:rPr>
              <w:sz w:val="24"/>
              <w:szCs w:val="24"/>
            </w:rPr>
            <w:tab/>
          </w:r>
          <w:r>
            <w:rPr>
              <w:sz w:val="24"/>
              <w:szCs w:val="24"/>
            </w:rPr>
            <w:fldChar w:fldCharType="begin"/>
          </w:r>
          <w:r>
            <w:rPr>
              <w:sz w:val="24"/>
              <w:szCs w:val="24"/>
            </w:rPr>
            <w:instrText xml:space="preserve"> PAGEREF _Toc19692 </w:instrText>
          </w:r>
          <w:r>
            <w:rPr>
              <w:sz w:val="24"/>
              <w:szCs w:val="24"/>
            </w:rPr>
            <w:fldChar w:fldCharType="separate"/>
          </w:r>
          <w:r>
            <w:rPr>
              <w:sz w:val="24"/>
              <w:szCs w:val="24"/>
            </w:rPr>
            <w:t>17</w:t>
          </w:r>
          <w:r>
            <w:rPr>
              <w:sz w:val="24"/>
              <w:szCs w:val="24"/>
            </w:rPr>
            <w:fldChar w:fldCharType="end"/>
          </w:r>
          <w:r>
            <w:rPr>
              <w:sz w:val="24"/>
              <w:szCs w:val="24"/>
            </w:rPr>
            <w:fldChar w:fldCharType="end"/>
          </w:r>
        </w:p>
        <w:p w14:paraId="21F46606">
          <w:pPr>
            <w:pStyle w:val="116"/>
            <w:tabs>
              <w:tab w:val="right" w:leader="dot" w:pos="8306"/>
            </w:tabs>
            <w:spacing w:line="360" w:lineRule="auto"/>
            <w:ind w:left="420"/>
            <w:rPr>
              <w:sz w:val="24"/>
              <w:szCs w:val="24"/>
            </w:rPr>
          </w:pPr>
          <w:r>
            <w:fldChar w:fldCharType="begin"/>
          </w:r>
          <w:r>
            <w:instrText xml:space="preserve"> HYPERLINK \l "_Toc14828" </w:instrText>
          </w:r>
          <w:r>
            <w:fldChar w:fldCharType="separate"/>
          </w:r>
          <w:r>
            <w:rPr>
              <w:rFonts w:hint="eastAsia" w:cs="仿宋_GB2312" w:asciiTheme="minorEastAsia" w:hAnsiTheme="minorEastAsia" w:eastAsiaTheme="minorEastAsia"/>
              <w:bCs/>
              <w:sz w:val="24"/>
              <w:szCs w:val="24"/>
            </w:rPr>
            <w:t>（二）产品售后责任</w:t>
          </w:r>
          <w:r>
            <w:rPr>
              <w:sz w:val="24"/>
              <w:szCs w:val="24"/>
            </w:rPr>
            <w:tab/>
          </w:r>
          <w:r>
            <w:rPr>
              <w:sz w:val="24"/>
              <w:szCs w:val="24"/>
            </w:rPr>
            <w:fldChar w:fldCharType="begin"/>
          </w:r>
          <w:r>
            <w:rPr>
              <w:sz w:val="24"/>
              <w:szCs w:val="24"/>
            </w:rPr>
            <w:instrText xml:space="preserve"> PAGEREF _Toc14828 </w:instrText>
          </w:r>
          <w:r>
            <w:rPr>
              <w:sz w:val="24"/>
              <w:szCs w:val="24"/>
            </w:rPr>
            <w:fldChar w:fldCharType="separate"/>
          </w:r>
          <w:r>
            <w:rPr>
              <w:sz w:val="24"/>
              <w:szCs w:val="24"/>
            </w:rPr>
            <w:t>19</w:t>
          </w:r>
          <w:r>
            <w:rPr>
              <w:sz w:val="24"/>
              <w:szCs w:val="24"/>
            </w:rPr>
            <w:fldChar w:fldCharType="end"/>
          </w:r>
          <w:r>
            <w:rPr>
              <w:sz w:val="24"/>
              <w:szCs w:val="24"/>
            </w:rPr>
            <w:fldChar w:fldCharType="end"/>
          </w:r>
        </w:p>
        <w:p w14:paraId="32C6BDDA">
          <w:pPr>
            <w:pStyle w:val="116"/>
            <w:tabs>
              <w:tab w:val="right" w:leader="dot" w:pos="8306"/>
            </w:tabs>
            <w:spacing w:line="360" w:lineRule="auto"/>
            <w:ind w:left="420"/>
            <w:rPr>
              <w:sz w:val="24"/>
              <w:szCs w:val="24"/>
            </w:rPr>
          </w:pPr>
          <w:r>
            <w:fldChar w:fldCharType="begin"/>
          </w:r>
          <w:r>
            <w:instrText xml:space="preserve"> HYPERLINK \l "_Toc2788" </w:instrText>
          </w:r>
          <w:r>
            <w:fldChar w:fldCharType="separate"/>
          </w:r>
          <w:r>
            <w:rPr>
              <w:rFonts w:hint="eastAsia" w:cs="仿宋_GB2312" w:asciiTheme="minorEastAsia" w:hAnsiTheme="minorEastAsia" w:eastAsiaTheme="minorEastAsia"/>
              <w:bCs/>
              <w:sz w:val="24"/>
              <w:szCs w:val="24"/>
            </w:rPr>
            <w:t>（三）企业社会责任</w:t>
          </w:r>
          <w:r>
            <w:rPr>
              <w:sz w:val="24"/>
              <w:szCs w:val="24"/>
            </w:rPr>
            <w:tab/>
          </w:r>
          <w:r>
            <w:rPr>
              <w:sz w:val="24"/>
              <w:szCs w:val="24"/>
            </w:rPr>
            <w:fldChar w:fldCharType="begin"/>
          </w:r>
          <w:r>
            <w:rPr>
              <w:sz w:val="24"/>
              <w:szCs w:val="24"/>
            </w:rPr>
            <w:instrText xml:space="preserve"> PAGEREF _Toc2788 </w:instrText>
          </w:r>
          <w:r>
            <w:rPr>
              <w:sz w:val="24"/>
              <w:szCs w:val="24"/>
            </w:rPr>
            <w:fldChar w:fldCharType="separate"/>
          </w:r>
          <w:r>
            <w:rPr>
              <w:sz w:val="24"/>
              <w:szCs w:val="24"/>
            </w:rPr>
            <w:t>19</w:t>
          </w:r>
          <w:r>
            <w:rPr>
              <w:sz w:val="24"/>
              <w:szCs w:val="24"/>
            </w:rPr>
            <w:fldChar w:fldCharType="end"/>
          </w:r>
          <w:r>
            <w:rPr>
              <w:sz w:val="24"/>
              <w:szCs w:val="24"/>
            </w:rPr>
            <w:fldChar w:fldCharType="end"/>
          </w:r>
        </w:p>
        <w:p w14:paraId="6A932D10">
          <w:pPr>
            <w:pStyle w:val="116"/>
            <w:tabs>
              <w:tab w:val="right" w:leader="dot" w:pos="8306"/>
            </w:tabs>
            <w:spacing w:line="360" w:lineRule="auto"/>
            <w:ind w:left="420"/>
            <w:rPr>
              <w:sz w:val="24"/>
              <w:szCs w:val="24"/>
            </w:rPr>
          </w:pPr>
          <w:r>
            <w:fldChar w:fldCharType="begin"/>
          </w:r>
          <w:r>
            <w:instrText xml:space="preserve"> HYPERLINK \l "_Toc2948" </w:instrText>
          </w:r>
          <w:r>
            <w:fldChar w:fldCharType="separate"/>
          </w:r>
          <w:r>
            <w:rPr>
              <w:rFonts w:hint="eastAsia" w:cs="仿宋_GB2312" w:asciiTheme="minorEastAsia" w:hAnsiTheme="minorEastAsia" w:eastAsiaTheme="minorEastAsia"/>
              <w:bCs/>
              <w:sz w:val="24"/>
              <w:szCs w:val="24"/>
            </w:rPr>
            <w:t>（四）质量信用记录</w:t>
          </w:r>
          <w:r>
            <w:rPr>
              <w:sz w:val="24"/>
              <w:szCs w:val="24"/>
            </w:rPr>
            <w:tab/>
          </w:r>
          <w:r>
            <w:rPr>
              <w:sz w:val="24"/>
              <w:szCs w:val="24"/>
            </w:rPr>
            <w:fldChar w:fldCharType="begin"/>
          </w:r>
          <w:r>
            <w:rPr>
              <w:sz w:val="24"/>
              <w:szCs w:val="24"/>
            </w:rPr>
            <w:instrText xml:space="preserve"> PAGEREF _Toc2948 </w:instrText>
          </w:r>
          <w:r>
            <w:rPr>
              <w:sz w:val="24"/>
              <w:szCs w:val="24"/>
            </w:rPr>
            <w:fldChar w:fldCharType="separate"/>
          </w:r>
          <w:r>
            <w:rPr>
              <w:sz w:val="24"/>
              <w:szCs w:val="24"/>
            </w:rPr>
            <w:t>21</w:t>
          </w:r>
          <w:r>
            <w:rPr>
              <w:sz w:val="24"/>
              <w:szCs w:val="24"/>
            </w:rPr>
            <w:fldChar w:fldCharType="end"/>
          </w:r>
          <w:r>
            <w:rPr>
              <w:sz w:val="24"/>
              <w:szCs w:val="24"/>
            </w:rPr>
            <w:fldChar w:fldCharType="end"/>
          </w:r>
        </w:p>
        <w:p w14:paraId="3DE49963">
          <w:pPr>
            <w:pStyle w:val="115"/>
            <w:tabs>
              <w:tab w:val="right" w:leader="dot" w:pos="8306"/>
            </w:tabs>
            <w:spacing w:line="360" w:lineRule="auto"/>
            <w:rPr>
              <w:b/>
            </w:rPr>
          </w:pPr>
          <w:r>
            <w:fldChar w:fldCharType="begin"/>
          </w:r>
          <w:r>
            <w:instrText xml:space="preserve"> HYPERLINK \l "_Toc15550" </w:instrText>
          </w:r>
          <w:r>
            <w:fldChar w:fldCharType="separate"/>
          </w:r>
          <w:r>
            <w:rPr>
              <w:rFonts w:hint="eastAsia" w:cs="宋体" w:asciiTheme="minorEastAsia" w:hAnsiTheme="minorEastAsia" w:eastAsiaTheme="minorEastAsia"/>
              <w:b/>
              <w:bCs/>
              <w:kern w:val="32"/>
              <w:sz w:val="24"/>
              <w:szCs w:val="24"/>
            </w:rPr>
            <w:t>报告结语</w:t>
          </w:r>
          <w:r>
            <w:rPr>
              <w:b/>
              <w:sz w:val="24"/>
              <w:szCs w:val="24"/>
            </w:rPr>
            <w:tab/>
          </w:r>
          <w:r>
            <w:rPr>
              <w:b/>
              <w:sz w:val="24"/>
              <w:szCs w:val="24"/>
            </w:rPr>
            <w:fldChar w:fldCharType="begin"/>
          </w:r>
          <w:r>
            <w:rPr>
              <w:b/>
              <w:sz w:val="24"/>
              <w:szCs w:val="24"/>
            </w:rPr>
            <w:instrText xml:space="preserve"> PAGEREF _Toc15550 </w:instrText>
          </w:r>
          <w:r>
            <w:rPr>
              <w:b/>
              <w:sz w:val="24"/>
              <w:szCs w:val="24"/>
            </w:rPr>
            <w:fldChar w:fldCharType="separate"/>
          </w:r>
          <w:r>
            <w:rPr>
              <w:b/>
              <w:sz w:val="24"/>
              <w:szCs w:val="24"/>
            </w:rPr>
            <w:t>22</w:t>
          </w:r>
          <w:r>
            <w:rPr>
              <w:b/>
              <w:sz w:val="24"/>
              <w:szCs w:val="24"/>
            </w:rPr>
            <w:fldChar w:fldCharType="end"/>
          </w:r>
          <w:r>
            <w:rPr>
              <w:b/>
              <w:sz w:val="24"/>
              <w:szCs w:val="24"/>
            </w:rPr>
            <w:fldChar w:fldCharType="end"/>
          </w:r>
        </w:p>
        <w:p w14:paraId="291B6BF6">
          <w:pPr>
            <w:pStyle w:val="19"/>
            <w:tabs>
              <w:tab w:val="right" w:leader="dot" w:pos="8296"/>
            </w:tabs>
            <w:spacing w:before="78" w:after="78" w:line="276" w:lineRule="auto"/>
            <w:rPr>
              <w:rFonts w:asciiTheme="minorEastAsia" w:hAnsiTheme="minorEastAsia" w:eastAsiaTheme="minorEastAsia"/>
              <w:color w:val="000000" w:themeColor="text1"/>
              <w:sz w:val="28"/>
              <w:szCs w:val="28"/>
            </w:rPr>
          </w:pPr>
          <w:r>
            <w:rPr>
              <w:rFonts w:asciiTheme="minorEastAsia" w:hAnsiTheme="minorEastAsia" w:eastAsiaTheme="minorEastAsia"/>
              <w:b/>
              <w:color w:val="000000" w:themeColor="text1"/>
              <w:szCs w:val="28"/>
            </w:rPr>
            <w:fldChar w:fldCharType="end"/>
          </w:r>
        </w:p>
      </w:sdtContent>
    </w:sdt>
    <w:p w14:paraId="6EF35A4B">
      <w:pPr>
        <w:rPr>
          <w:rFonts w:cs="宋体" w:asciiTheme="minorEastAsia" w:hAnsiTheme="minorEastAsia" w:eastAsiaTheme="minorEastAsia"/>
          <w:b/>
          <w:bCs/>
          <w:color w:val="000000" w:themeColor="text1"/>
          <w:kern w:val="32"/>
          <w:sz w:val="44"/>
          <w:szCs w:val="44"/>
        </w:rPr>
      </w:pPr>
      <w:r>
        <w:rPr>
          <w:rFonts w:cs="宋体" w:asciiTheme="minorEastAsia" w:hAnsiTheme="minorEastAsia" w:eastAsiaTheme="minorEastAsia"/>
          <w:b/>
          <w:bCs/>
          <w:color w:val="000000" w:themeColor="text1"/>
          <w:kern w:val="32"/>
          <w:sz w:val="44"/>
          <w:szCs w:val="44"/>
        </w:rPr>
        <w:br w:type="page"/>
      </w:r>
    </w:p>
    <w:p w14:paraId="3EB19183">
      <w:pPr>
        <w:pStyle w:val="2"/>
        <w:ind w:firstLine="480"/>
      </w:pPr>
    </w:p>
    <w:p w14:paraId="6F6D436E">
      <w:pPr>
        <w:keepNext/>
        <w:keepLines/>
        <w:spacing w:line="276" w:lineRule="auto"/>
        <w:jc w:val="center"/>
        <w:outlineLvl w:val="0"/>
        <w:rPr>
          <w:rFonts w:cs="宋体" w:asciiTheme="minorEastAsia" w:hAnsiTheme="minorEastAsia" w:eastAsiaTheme="minorEastAsia"/>
          <w:b/>
          <w:bCs/>
          <w:color w:val="000000" w:themeColor="text1"/>
          <w:kern w:val="32"/>
          <w:sz w:val="44"/>
          <w:szCs w:val="44"/>
        </w:rPr>
      </w:pPr>
      <w:bookmarkStart w:id="0" w:name="_Toc20185"/>
      <w:bookmarkStart w:id="1" w:name="_Toc451594564"/>
      <w:r>
        <w:rPr>
          <w:rFonts w:hint="eastAsia" w:cs="宋体" w:asciiTheme="minorEastAsia" w:hAnsiTheme="minorEastAsia" w:eastAsiaTheme="minorEastAsia"/>
          <w:b/>
          <w:bCs/>
          <w:color w:val="000000" w:themeColor="text1"/>
          <w:kern w:val="32"/>
          <w:sz w:val="44"/>
          <w:szCs w:val="44"/>
        </w:rPr>
        <w:t>前  言</w:t>
      </w:r>
      <w:bookmarkEnd w:id="0"/>
      <w:bookmarkEnd w:id="1"/>
    </w:p>
    <w:p w14:paraId="1B4C7BFC">
      <w:pPr>
        <w:keepNext/>
        <w:keepLines/>
        <w:spacing w:line="276" w:lineRule="auto"/>
        <w:rPr>
          <w:rFonts w:asciiTheme="minorEastAsia" w:hAnsiTheme="minorEastAsia" w:eastAsiaTheme="minorEastAsia"/>
          <w:b/>
          <w:bCs/>
          <w:color w:val="000000" w:themeColor="text1"/>
          <w:kern w:val="32"/>
          <w:sz w:val="44"/>
          <w:szCs w:val="44"/>
        </w:rPr>
      </w:pPr>
    </w:p>
    <w:p w14:paraId="2CECD44E">
      <w:pPr>
        <w:keepNext/>
        <w:keepLines/>
        <w:spacing w:line="276" w:lineRule="auto"/>
        <w:rPr>
          <w:rFonts w:asciiTheme="minorEastAsia" w:hAnsiTheme="minorEastAsia" w:eastAsiaTheme="minorEastAsia"/>
          <w:b/>
          <w:bCs/>
          <w:color w:val="000000" w:themeColor="text1"/>
          <w:kern w:val="32"/>
          <w:sz w:val="44"/>
          <w:szCs w:val="44"/>
        </w:rPr>
      </w:pPr>
    </w:p>
    <w:p w14:paraId="4C9E9CFA">
      <w:pPr>
        <w:ind w:firstLine="700" w:firstLineChars="250"/>
        <w:rPr>
          <w:rFonts w:cs="宋体" w:asciiTheme="minorEastAsia" w:hAnsiTheme="minorEastAsia" w:eastAsiaTheme="minorEastAsia"/>
          <w:color w:val="000000" w:themeColor="text1"/>
          <w:sz w:val="28"/>
          <w:szCs w:val="28"/>
        </w:rPr>
      </w:pPr>
      <w:r>
        <w:rPr>
          <w:rFonts w:hint="eastAsia" w:cs="宋体" w:asciiTheme="minorEastAsia" w:hAnsiTheme="minorEastAsia" w:eastAsiaTheme="minorEastAsia"/>
          <w:color w:val="000000" w:themeColor="text1"/>
          <w:sz w:val="28"/>
          <w:szCs w:val="28"/>
        </w:rPr>
        <w:t>本公司出具的质量诚信报告，是依据国家有关质量法律法规、规章及相关行业质量标准、规范等进行编制。报告中关于公司质量诚信和质量管理情况是公司现状的真实反映，本公司对报告内容的客观性负责，对相关论述和结论真实性和科学性负责。</w:t>
      </w:r>
    </w:p>
    <w:p w14:paraId="15E6A134">
      <w:pPr>
        <w:outlineLvl w:val="1"/>
        <w:rPr>
          <w:rFonts w:asciiTheme="minorEastAsia" w:hAnsiTheme="minorEastAsia" w:eastAsiaTheme="minorEastAsia"/>
          <w:b/>
          <w:bCs/>
          <w:color w:val="000000" w:themeColor="text1"/>
          <w:sz w:val="28"/>
          <w:szCs w:val="28"/>
        </w:rPr>
      </w:pPr>
      <w:bookmarkStart w:id="2" w:name="_Toc19336"/>
      <w:r>
        <w:rPr>
          <w:rFonts w:hint="eastAsia" w:cs="宋体" w:asciiTheme="minorEastAsia" w:hAnsiTheme="minorEastAsia" w:eastAsiaTheme="minorEastAsia"/>
          <w:b/>
          <w:bCs/>
          <w:color w:val="000000" w:themeColor="text1"/>
          <w:sz w:val="28"/>
          <w:szCs w:val="28"/>
        </w:rPr>
        <w:t>报告范围：</w:t>
      </w:r>
      <w:bookmarkEnd w:id="2"/>
    </w:p>
    <w:p w14:paraId="0CA51990">
      <w:pPr>
        <w:ind w:firstLine="680" w:firstLineChars="250"/>
        <w:rPr>
          <w:rFonts w:asciiTheme="minorEastAsia" w:hAnsiTheme="minorEastAsia" w:eastAsiaTheme="minorEastAsia"/>
          <w:color w:val="000000" w:themeColor="text1"/>
          <w:sz w:val="28"/>
          <w:szCs w:val="28"/>
        </w:rPr>
      </w:pPr>
      <w:r>
        <w:rPr>
          <w:rFonts w:hint="eastAsia" w:cs="宋体" w:asciiTheme="minorEastAsia" w:hAnsiTheme="minorEastAsia" w:eastAsiaTheme="minorEastAsia"/>
          <w:color w:val="000000" w:themeColor="text1"/>
          <w:spacing w:val="-4"/>
          <w:sz w:val="28"/>
          <w:szCs w:val="28"/>
        </w:rPr>
        <w:t>本报告的组织范围为燎原电缆集团有限公司</w:t>
      </w:r>
      <w:r>
        <w:rPr>
          <w:rFonts w:hint="eastAsia" w:cs="宋体" w:asciiTheme="minorEastAsia" w:hAnsiTheme="minorEastAsia" w:eastAsiaTheme="minorEastAsia"/>
          <w:color w:val="000000" w:themeColor="text1"/>
          <w:sz w:val="28"/>
          <w:szCs w:val="28"/>
        </w:rPr>
        <w:t>。</w:t>
      </w:r>
      <w:r>
        <w:rPr>
          <w:rFonts w:hint="eastAsia" w:cs="宋体" w:asciiTheme="minorEastAsia" w:hAnsiTheme="minorEastAsia" w:eastAsiaTheme="minorEastAsia"/>
          <w:color w:val="000000" w:themeColor="text1"/>
          <w:spacing w:val="-12"/>
          <w:sz w:val="28"/>
          <w:szCs w:val="28"/>
        </w:rPr>
        <w:t>本报告描述了</w:t>
      </w:r>
      <w:r>
        <w:rPr>
          <w:rFonts w:hint="eastAsia" w:asciiTheme="minorEastAsia" w:hAnsiTheme="minorEastAsia" w:eastAsiaTheme="minorEastAsia"/>
          <w:color w:val="000000" w:themeColor="text1"/>
          <w:spacing w:val="-12"/>
          <w:sz w:val="28"/>
          <w:szCs w:val="28"/>
          <w:lang w:eastAsia="zh-CN"/>
        </w:rPr>
        <w:t>2025</w:t>
      </w:r>
      <w:r>
        <w:rPr>
          <w:rFonts w:hint="eastAsia" w:cs="宋体" w:asciiTheme="minorEastAsia" w:hAnsiTheme="minorEastAsia" w:eastAsiaTheme="minorEastAsia"/>
          <w:color w:val="000000" w:themeColor="text1"/>
          <w:spacing w:val="-12"/>
          <w:sz w:val="28"/>
          <w:szCs w:val="28"/>
        </w:rPr>
        <w:t>年</w:t>
      </w:r>
      <w:r>
        <w:rPr>
          <w:rFonts w:hint="eastAsia" w:asciiTheme="minorEastAsia" w:hAnsiTheme="minorEastAsia" w:eastAsiaTheme="minorEastAsia"/>
          <w:color w:val="000000" w:themeColor="text1"/>
          <w:spacing w:val="-12"/>
          <w:sz w:val="28"/>
          <w:szCs w:val="28"/>
        </w:rPr>
        <w:t>1</w:t>
      </w:r>
      <w:r>
        <w:rPr>
          <w:rFonts w:hint="eastAsia" w:cs="宋体" w:asciiTheme="minorEastAsia" w:hAnsiTheme="minorEastAsia" w:eastAsiaTheme="minorEastAsia"/>
          <w:color w:val="000000" w:themeColor="text1"/>
          <w:spacing w:val="-12"/>
          <w:sz w:val="28"/>
          <w:szCs w:val="28"/>
        </w:rPr>
        <w:t>月</w:t>
      </w:r>
      <w:r>
        <w:rPr>
          <w:rFonts w:asciiTheme="minorEastAsia" w:hAnsiTheme="minorEastAsia" w:eastAsiaTheme="minorEastAsia"/>
          <w:color w:val="000000" w:themeColor="text1"/>
          <w:spacing w:val="-12"/>
          <w:sz w:val="28"/>
          <w:szCs w:val="28"/>
        </w:rPr>
        <w:t>1</w:t>
      </w:r>
      <w:r>
        <w:rPr>
          <w:rFonts w:hint="eastAsia" w:cs="宋体" w:asciiTheme="minorEastAsia" w:hAnsiTheme="minorEastAsia" w:eastAsiaTheme="minorEastAsia"/>
          <w:color w:val="000000" w:themeColor="text1"/>
          <w:spacing w:val="-12"/>
          <w:sz w:val="28"/>
          <w:szCs w:val="28"/>
        </w:rPr>
        <w:t>日</w:t>
      </w:r>
      <w:r>
        <w:rPr>
          <w:rFonts w:hint="eastAsia" w:cs="宋体" w:asciiTheme="minorEastAsia" w:hAnsiTheme="minorEastAsia" w:eastAsiaTheme="minorEastAsia"/>
          <w:color w:val="000000" w:themeColor="text1"/>
          <w:sz w:val="28"/>
          <w:szCs w:val="28"/>
        </w:rPr>
        <w:t>至</w:t>
      </w:r>
      <w:r>
        <w:rPr>
          <w:rFonts w:hint="eastAsia" w:asciiTheme="minorEastAsia" w:hAnsiTheme="minorEastAsia" w:eastAsiaTheme="minorEastAsia"/>
          <w:color w:val="000000" w:themeColor="text1"/>
          <w:sz w:val="28"/>
          <w:szCs w:val="28"/>
          <w:lang w:eastAsia="zh-CN"/>
        </w:rPr>
        <w:t>2025</w:t>
      </w:r>
      <w:r>
        <w:rPr>
          <w:rFonts w:hint="eastAsia" w:cs="宋体" w:asciiTheme="minorEastAsia" w:hAnsiTheme="minorEastAsia" w:eastAsiaTheme="minorEastAsia"/>
          <w:color w:val="000000" w:themeColor="text1"/>
          <w:sz w:val="28"/>
          <w:szCs w:val="28"/>
        </w:rPr>
        <w:t>年</w:t>
      </w:r>
      <w:r>
        <w:rPr>
          <w:rFonts w:asciiTheme="minorEastAsia" w:hAnsiTheme="minorEastAsia" w:eastAsiaTheme="minorEastAsia"/>
          <w:color w:val="000000" w:themeColor="text1"/>
          <w:sz w:val="28"/>
          <w:szCs w:val="28"/>
        </w:rPr>
        <w:t>1</w:t>
      </w:r>
      <w:r>
        <w:rPr>
          <w:rFonts w:hint="eastAsia" w:asciiTheme="minorEastAsia" w:hAnsiTheme="minorEastAsia" w:eastAsiaTheme="minorEastAsia"/>
          <w:color w:val="000000" w:themeColor="text1"/>
          <w:sz w:val="28"/>
          <w:szCs w:val="28"/>
        </w:rPr>
        <w:t>2</w:t>
      </w:r>
      <w:r>
        <w:rPr>
          <w:rFonts w:hint="eastAsia" w:cs="宋体" w:asciiTheme="minorEastAsia" w:hAnsiTheme="minorEastAsia" w:eastAsiaTheme="minorEastAsia"/>
          <w:color w:val="000000" w:themeColor="text1"/>
          <w:sz w:val="28"/>
          <w:szCs w:val="28"/>
        </w:rPr>
        <w:t>月</w:t>
      </w:r>
      <w:r>
        <w:rPr>
          <w:rFonts w:asciiTheme="minorEastAsia" w:hAnsiTheme="minorEastAsia" w:eastAsiaTheme="minorEastAsia"/>
          <w:color w:val="000000" w:themeColor="text1"/>
          <w:sz w:val="28"/>
          <w:szCs w:val="28"/>
        </w:rPr>
        <w:t>31</w:t>
      </w:r>
      <w:r>
        <w:rPr>
          <w:rFonts w:hint="eastAsia" w:cs="宋体" w:asciiTheme="minorEastAsia" w:hAnsiTheme="minorEastAsia" w:eastAsiaTheme="minorEastAsia"/>
          <w:color w:val="000000" w:themeColor="text1"/>
          <w:sz w:val="28"/>
          <w:szCs w:val="28"/>
        </w:rPr>
        <w:t>日期间，公司</w:t>
      </w:r>
      <w:r>
        <w:rPr>
          <w:rFonts w:hint="eastAsia" w:cs="宋体" w:asciiTheme="minorEastAsia" w:hAnsiTheme="minorEastAsia" w:eastAsiaTheme="minorEastAsia"/>
          <w:color w:val="000000" w:themeColor="text1"/>
          <w:spacing w:val="-10"/>
          <w:sz w:val="28"/>
          <w:szCs w:val="28"/>
        </w:rPr>
        <w:t>在质量管理、产品质量责任、质量诚信管</w:t>
      </w:r>
      <w:r>
        <w:rPr>
          <w:rFonts w:hint="eastAsia" w:cs="宋体" w:asciiTheme="minorEastAsia" w:hAnsiTheme="minorEastAsia" w:eastAsiaTheme="minorEastAsia"/>
          <w:color w:val="000000" w:themeColor="text1"/>
          <w:sz w:val="28"/>
          <w:szCs w:val="28"/>
        </w:rPr>
        <w:t>理等方面的理念、制度、采取的措施和取得的绩效等。</w:t>
      </w:r>
    </w:p>
    <w:p w14:paraId="43CCE639">
      <w:pPr>
        <w:outlineLvl w:val="1"/>
        <w:rPr>
          <w:rFonts w:asciiTheme="minorEastAsia" w:hAnsiTheme="minorEastAsia" w:eastAsiaTheme="minorEastAsia"/>
          <w:b/>
          <w:bCs/>
          <w:color w:val="000000" w:themeColor="text1"/>
          <w:sz w:val="28"/>
          <w:szCs w:val="28"/>
        </w:rPr>
      </w:pPr>
      <w:bookmarkStart w:id="3" w:name="_Toc14811"/>
      <w:r>
        <w:rPr>
          <w:rFonts w:hint="eastAsia" w:cs="宋体" w:asciiTheme="minorEastAsia" w:hAnsiTheme="minorEastAsia" w:eastAsiaTheme="minorEastAsia"/>
          <w:b/>
          <w:bCs/>
          <w:color w:val="000000" w:themeColor="text1"/>
          <w:sz w:val="28"/>
          <w:szCs w:val="28"/>
        </w:rPr>
        <w:t>报告发布形式：</w:t>
      </w:r>
      <w:bookmarkEnd w:id="3"/>
    </w:p>
    <w:p w14:paraId="4F738A33">
      <w:pPr>
        <w:ind w:firstLine="700" w:firstLineChars="250"/>
        <w:rPr>
          <w:rFonts w:asciiTheme="minorEastAsia" w:hAnsiTheme="minorEastAsia" w:eastAsiaTheme="minorEastAsia"/>
          <w:color w:val="000000" w:themeColor="text1"/>
          <w:sz w:val="28"/>
          <w:szCs w:val="28"/>
        </w:rPr>
      </w:pPr>
      <w:r>
        <w:rPr>
          <w:rFonts w:hint="eastAsia" w:cs="宋体" w:asciiTheme="minorEastAsia" w:hAnsiTheme="minorEastAsia" w:eastAsiaTheme="minorEastAsia"/>
          <w:color w:val="000000" w:themeColor="text1"/>
          <w:sz w:val="28"/>
          <w:szCs w:val="28"/>
        </w:rPr>
        <w:t>本公司每年定期发布一次质量信用报告，本报告以</w:t>
      </w:r>
      <w:r>
        <w:rPr>
          <w:rFonts w:asciiTheme="minorEastAsia" w:hAnsiTheme="minorEastAsia" w:eastAsiaTheme="minorEastAsia"/>
          <w:color w:val="000000" w:themeColor="text1"/>
          <w:sz w:val="28"/>
          <w:szCs w:val="28"/>
        </w:rPr>
        <w:t>PDF</w:t>
      </w:r>
      <w:r>
        <w:rPr>
          <w:rFonts w:hint="eastAsia" w:cs="宋体" w:asciiTheme="minorEastAsia" w:hAnsiTheme="minorEastAsia" w:eastAsiaTheme="minorEastAsia"/>
          <w:color w:val="000000" w:themeColor="text1"/>
          <w:sz w:val="28"/>
          <w:szCs w:val="28"/>
        </w:rPr>
        <w:t>电子文档形式在公司</w:t>
      </w:r>
      <w:r>
        <w:rPr>
          <w:rFonts w:hint="eastAsia"/>
          <w:sz w:val="24"/>
        </w:rPr>
        <w:t xml:space="preserve">Http://www. lydljt </w:t>
      </w:r>
      <w:r>
        <w:rPr>
          <w:sz w:val="24"/>
        </w:rPr>
        <w:t>.com</w:t>
      </w:r>
      <w:r>
        <w:rPr>
          <w:rFonts w:hint="eastAsia" w:cs="宋体" w:asciiTheme="minorEastAsia" w:hAnsiTheme="minorEastAsia" w:eastAsiaTheme="minorEastAsia"/>
          <w:color w:val="000000" w:themeColor="text1"/>
          <w:sz w:val="28"/>
          <w:szCs w:val="28"/>
        </w:rPr>
        <w:t>网站向社会公布，</w:t>
      </w:r>
      <w:r>
        <w:rPr>
          <w:rFonts w:hint="eastAsia" w:cs="宋体" w:asciiTheme="minorEastAsia" w:hAnsiTheme="minorEastAsia" w:eastAsiaTheme="minorEastAsia"/>
          <w:color w:val="000000" w:themeColor="text1"/>
          <w:spacing w:val="-12"/>
          <w:sz w:val="28"/>
          <w:szCs w:val="28"/>
        </w:rPr>
        <w:t>欢迎下载</w:t>
      </w:r>
      <w:r>
        <w:rPr>
          <w:rFonts w:hint="eastAsia" w:cs="宋体" w:asciiTheme="minorEastAsia" w:hAnsiTheme="minorEastAsia" w:eastAsiaTheme="minorEastAsia"/>
          <w:color w:val="000000" w:themeColor="text1"/>
          <w:sz w:val="28"/>
          <w:szCs w:val="28"/>
        </w:rPr>
        <w:t>阅读并提出宝贵意见。</w:t>
      </w:r>
    </w:p>
    <w:p w14:paraId="23338BDB">
      <w:pPr>
        <w:spacing w:line="276" w:lineRule="auto"/>
        <w:ind w:firstLine="560" w:firstLineChars="200"/>
        <w:rPr>
          <w:rFonts w:asciiTheme="minorEastAsia" w:hAnsiTheme="minorEastAsia" w:eastAsiaTheme="minorEastAsia"/>
          <w:color w:val="000000" w:themeColor="text1"/>
          <w:sz w:val="28"/>
          <w:szCs w:val="28"/>
        </w:rPr>
      </w:pPr>
    </w:p>
    <w:p w14:paraId="04E69FDF">
      <w:pPr>
        <w:widowControl/>
        <w:spacing w:line="276" w:lineRule="auto"/>
        <w:jc w:val="left"/>
        <w:rPr>
          <w:rFonts w:asciiTheme="minorEastAsia" w:hAnsiTheme="minorEastAsia" w:eastAsiaTheme="minorEastAsia"/>
          <w:color w:val="000000" w:themeColor="text1"/>
          <w:sz w:val="28"/>
          <w:szCs w:val="28"/>
        </w:rPr>
      </w:pPr>
    </w:p>
    <w:p w14:paraId="49D5F7C8">
      <w:pPr>
        <w:widowControl/>
        <w:spacing w:line="276" w:lineRule="auto"/>
        <w:jc w:val="left"/>
        <w:rPr>
          <w:rFonts w:asciiTheme="minorEastAsia" w:hAnsiTheme="minorEastAsia" w:eastAsiaTheme="minorEastAsia"/>
          <w:color w:val="000000" w:themeColor="text1"/>
          <w:sz w:val="36"/>
          <w:szCs w:val="36"/>
        </w:rPr>
      </w:pPr>
    </w:p>
    <w:p w14:paraId="3459C8D3">
      <w:pPr>
        <w:widowControl/>
        <w:spacing w:line="276" w:lineRule="auto"/>
        <w:jc w:val="left"/>
        <w:rPr>
          <w:rFonts w:asciiTheme="minorEastAsia" w:hAnsiTheme="minorEastAsia" w:eastAsiaTheme="minorEastAsia"/>
          <w:color w:val="000000" w:themeColor="text1"/>
          <w:sz w:val="36"/>
          <w:szCs w:val="36"/>
        </w:rPr>
      </w:pPr>
    </w:p>
    <w:p w14:paraId="38F5A726">
      <w:pPr>
        <w:widowControl/>
        <w:spacing w:line="276" w:lineRule="auto"/>
        <w:jc w:val="left"/>
        <w:rPr>
          <w:rFonts w:asciiTheme="minorEastAsia" w:hAnsiTheme="minorEastAsia" w:eastAsiaTheme="minorEastAsia"/>
          <w:color w:val="000000" w:themeColor="text1"/>
          <w:sz w:val="28"/>
          <w:szCs w:val="28"/>
        </w:rPr>
      </w:pPr>
    </w:p>
    <w:p w14:paraId="72F17DBD">
      <w:pPr>
        <w:ind w:right="-58"/>
        <w:jc w:val="center"/>
        <w:rPr>
          <w:rFonts w:asciiTheme="minorEastAsia" w:hAnsiTheme="minorEastAsia" w:eastAsiaTheme="minorEastAsia"/>
          <w:b/>
          <w:color w:val="000000" w:themeColor="text1"/>
          <w:sz w:val="36"/>
          <w:szCs w:val="36"/>
        </w:rPr>
      </w:pPr>
    </w:p>
    <w:p w14:paraId="5296D453">
      <w:pPr>
        <w:ind w:right="-58"/>
        <w:jc w:val="center"/>
        <w:rPr>
          <w:rFonts w:asciiTheme="minorEastAsia" w:hAnsiTheme="minorEastAsia" w:eastAsiaTheme="minorEastAsia"/>
          <w:b/>
          <w:color w:val="000000" w:themeColor="text1"/>
          <w:sz w:val="36"/>
          <w:szCs w:val="36"/>
        </w:rPr>
      </w:pPr>
    </w:p>
    <w:p w14:paraId="567FA6DB">
      <w:pPr>
        <w:ind w:right="-58"/>
        <w:jc w:val="center"/>
        <w:rPr>
          <w:rFonts w:asciiTheme="minorEastAsia" w:hAnsiTheme="minorEastAsia" w:eastAsiaTheme="minorEastAsia"/>
          <w:b/>
          <w:color w:val="000000" w:themeColor="text1"/>
          <w:sz w:val="36"/>
          <w:szCs w:val="36"/>
        </w:rPr>
      </w:pPr>
    </w:p>
    <w:p w14:paraId="4E9F4B85">
      <w:pPr>
        <w:ind w:right="-58"/>
        <w:jc w:val="center"/>
        <w:outlineLvl w:val="1"/>
        <w:rPr>
          <w:rFonts w:asciiTheme="minorEastAsia" w:hAnsiTheme="minorEastAsia" w:eastAsiaTheme="minorEastAsia"/>
          <w:b/>
          <w:color w:val="000000" w:themeColor="text1"/>
          <w:sz w:val="36"/>
          <w:szCs w:val="36"/>
        </w:rPr>
      </w:pPr>
      <w:bookmarkStart w:id="4" w:name="_Toc5487"/>
      <w:r>
        <w:rPr>
          <w:rFonts w:asciiTheme="minorEastAsia" w:hAnsiTheme="minorEastAsia" w:eastAsiaTheme="minorEastAsia"/>
          <w:b/>
          <w:color w:val="000000" w:themeColor="text1"/>
          <w:sz w:val="36"/>
          <w:szCs w:val="36"/>
        </w:rPr>
        <w:t>总经理致辞</w:t>
      </w:r>
      <w:bookmarkEnd w:id="4"/>
    </w:p>
    <w:p w14:paraId="5DADC64A">
      <w:pPr>
        <w:ind w:right="-58"/>
        <w:jc w:val="center"/>
        <w:rPr>
          <w:rFonts w:asciiTheme="minorEastAsia" w:hAnsiTheme="minorEastAsia" w:eastAsiaTheme="minorEastAsia"/>
          <w:b/>
          <w:color w:val="000000" w:themeColor="text1"/>
          <w:sz w:val="36"/>
          <w:szCs w:val="36"/>
        </w:rPr>
      </w:pPr>
    </w:p>
    <w:p w14:paraId="40424245">
      <w:pPr>
        <w:pStyle w:val="108"/>
        <w:spacing w:before="156" w:after="156"/>
        <w:ind w:firstLine="480"/>
        <w:rPr>
          <w:rStyle w:val="96"/>
          <w:rFonts w:hint="default"/>
          <w:sz w:val="24"/>
          <w:szCs w:val="24"/>
        </w:rPr>
      </w:pPr>
      <w:r>
        <w:rPr>
          <w:rStyle w:val="96"/>
          <w:rFonts w:hint="default"/>
          <w:sz w:val="24"/>
          <w:szCs w:val="24"/>
        </w:rPr>
        <w:t>诚信是做企业的基本准则，燎原电缆集团有限公司致力于为公司价值链上的所有参与者创造公平、透明、开放的环境和企业文化。燎原电缆集团有限公司是一家以专业生产高低压电力电缆为主营业务的集团化股份公司，在国内电线电缆行业中是产品品种最齐全的企业之一，</w:t>
      </w:r>
      <w:r>
        <w:rPr>
          <w:rFonts w:hint="eastAsia" w:asciiTheme="minorEastAsia" w:hAnsiTheme="minorEastAsia" w:cstheme="minorEastAsia"/>
        </w:rPr>
        <w:t>主要产品有：交联聚乙烯绝缘电力电缆、架空绝缘电缆、聚氯乙烯绝缘电力电缆、控制电缆、分支电缆、铝绞线等系列产品</w:t>
      </w:r>
      <w:r>
        <w:rPr>
          <w:rStyle w:val="96"/>
          <w:rFonts w:hint="default"/>
          <w:sz w:val="24"/>
          <w:szCs w:val="24"/>
        </w:rPr>
        <w:t>。</w:t>
      </w:r>
    </w:p>
    <w:p w14:paraId="133D6D30">
      <w:pPr>
        <w:pStyle w:val="108"/>
        <w:spacing w:before="156" w:after="156"/>
        <w:ind w:firstLine="480"/>
        <w:rPr>
          <w:rStyle w:val="96"/>
          <w:rFonts w:hint="default"/>
          <w:sz w:val="24"/>
          <w:szCs w:val="24"/>
        </w:rPr>
      </w:pPr>
      <w:r>
        <w:rPr>
          <w:rStyle w:val="96"/>
          <w:rFonts w:hint="default"/>
          <w:sz w:val="24"/>
          <w:szCs w:val="24"/>
        </w:rPr>
        <w:t>公司高度重视质量管理体系的建设，建立了完善的质量管理体系。公司通过了质量管理体系认证，为公司进一步开拓市场提供了可靠的质量保证。公司建立了一套科学、完善的质量控制体制，产品均符合产品质量标准，受到国内外客户的广泛认可。另外，公司还先后建立了 环境管理体系和职业健康安全管理体系，并通过认证。</w:t>
      </w:r>
    </w:p>
    <w:p w14:paraId="7890521E">
      <w:pPr>
        <w:spacing w:line="360" w:lineRule="auto"/>
        <w:ind w:firstLine="480" w:firstLineChars="200"/>
        <w:rPr>
          <w:rFonts w:cs="仿宋_GB2312" w:asciiTheme="minorEastAsia" w:hAnsiTheme="minorEastAsia" w:eastAsiaTheme="minorEastAsia"/>
          <w:color w:val="000000" w:themeColor="text1"/>
          <w:sz w:val="24"/>
        </w:rPr>
      </w:pPr>
      <w:r>
        <w:rPr>
          <w:rFonts w:hint="eastAsia" w:cs="仿宋_GB2312" w:asciiTheme="minorEastAsia" w:hAnsiTheme="minorEastAsia" w:eastAsiaTheme="minorEastAsia"/>
          <w:color w:val="000000" w:themeColor="text1"/>
          <w:sz w:val="24"/>
        </w:rPr>
        <w:t>在现代经济社会中，诚信不仅是一种道德规范，也是能够为企业带来经济效益的重要资源，质量诚信更是赢取客户的核心要素，企业文化要求全体员工讲诚信，以诚立身，塑造诚信文化，提升企业核心竞争力，努力打造最受顾客欢迎的</w:t>
      </w:r>
      <w:r>
        <w:rPr>
          <w:rFonts w:hint="eastAsia" w:asciiTheme="minorEastAsia" w:hAnsiTheme="minorEastAsia" w:eastAsiaTheme="minorEastAsia"/>
          <w:sz w:val="24"/>
        </w:rPr>
        <w:t>电线电缆</w:t>
      </w:r>
      <w:r>
        <w:rPr>
          <w:rFonts w:hint="eastAsia" w:cs="仿宋_GB2312" w:asciiTheme="minorEastAsia" w:hAnsiTheme="minorEastAsia" w:eastAsiaTheme="minorEastAsia"/>
          <w:color w:val="000000" w:themeColor="text1"/>
          <w:sz w:val="24"/>
        </w:rPr>
        <w:t>生产企业。</w:t>
      </w:r>
    </w:p>
    <w:p w14:paraId="76D47D77">
      <w:pPr>
        <w:spacing w:line="360" w:lineRule="auto"/>
        <w:ind w:firstLine="3920" w:firstLineChars="1400"/>
        <w:rPr>
          <w:rFonts w:cs="仿宋_GB2312" w:asciiTheme="minorEastAsia" w:hAnsiTheme="minorEastAsia" w:eastAsiaTheme="minorEastAsia"/>
          <w:color w:val="000000" w:themeColor="text1"/>
          <w:sz w:val="28"/>
          <w:szCs w:val="28"/>
        </w:rPr>
      </w:pPr>
    </w:p>
    <w:p w14:paraId="0FD1CA97">
      <w:pPr>
        <w:spacing w:line="360" w:lineRule="auto"/>
        <w:ind w:firstLine="4340" w:firstLineChars="1550"/>
        <w:rPr>
          <w:rFonts w:cs="仿宋_GB2312" w:asciiTheme="minorEastAsia" w:hAnsiTheme="minorEastAsia" w:eastAsiaTheme="minorEastAsia"/>
          <w:color w:val="000000" w:themeColor="text1"/>
          <w:sz w:val="28"/>
          <w:szCs w:val="28"/>
        </w:rPr>
      </w:pPr>
      <w:r>
        <w:rPr>
          <w:rFonts w:hint="eastAsia" w:cs="仿宋_GB2312" w:asciiTheme="minorEastAsia" w:hAnsiTheme="minorEastAsia" w:eastAsiaTheme="minorEastAsia"/>
          <w:color w:val="000000" w:themeColor="text1"/>
          <w:sz w:val="28"/>
          <w:szCs w:val="28"/>
        </w:rPr>
        <w:t>燎原电缆集团有限公司</w:t>
      </w:r>
    </w:p>
    <w:p w14:paraId="531618E8">
      <w:pPr>
        <w:spacing w:line="360" w:lineRule="auto"/>
        <w:ind w:firstLine="4200" w:firstLineChars="1500"/>
        <w:rPr>
          <w:rFonts w:cs="仿宋_GB2312" w:asciiTheme="minorEastAsia" w:hAnsiTheme="minorEastAsia" w:eastAsiaTheme="minorEastAsia"/>
          <w:color w:val="000000" w:themeColor="text1"/>
          <w:sz w:val="28"/>
          <w:szCs w:val="28"/>
        </w:rPr>
      </w:pPr>
    </w:p>
    <w:p w14:paraId="46C039E2">
      <w:pPr>
        <w:spacing w:line="360" w:lineRule="auto"/>
        <w:ind w:firstLine="4620" w:firstLineChars="1650"/>
        <w:rPr>
          <w:rFonts w:cs="仿宋_GB2312" w:asciiTheme="minorEastAsia" w:hAnsiTheme="minorEastAsia" w:eastAsiaTheme="minorEastAsia"/>
          <w:color w:val="000000" w:themeColor="text1"/>
          <w:sz w:val="28"/>
          <w:szCs w:val="28"/>
        </w:rPr>
      </w:pPr>
      <w:r>
        <w:rPr>
          <w:rFonts w:hint="eastAsia" w:cs="仿宋_GB2312" w:asciiTheme="minorEastAsia" w:hAnsiTheme="minorEastAsia" w:eastAsiaTheme="minorEastAsia"/>
          <w:color w:val="000000" w:themeColor="text1"/>
          <w:sz w:val="28"/>
          <w:szCs w:val="28"/>
        </w:rPr>
        <w:t>总经理（签名）：</w:t>
      </w:r>
    </w:p>
    <w:p w14:paraId="7D81D600">
      <w:pPr>
        <w:rPr>
          <w:rFonts w:asciiTheme="minorEastAsia" w:hAnsiTheme="minorEastAsia" w:eastAsiaTheme="minorEastAsia"/>
          <w:bCs/>
          <w:color w:val="000000" w:themeColor="text1"/>
          <w:kern w:val="32"/>
          <w:sz w:val="44"/>
          <w:szCs w:val="44"/>
        </w:rPr>
      </w:pPr>
      <w:r>
        <w:rPr>
          <w:rFonts w:hint="eastAsia" w:asciiTheme="minorEastAsia" w:hAnsiTheme="minorEastAsia" w:eastAsiaTheme="minorEastAsia"/>
          <w:bCs/>
          <w:color w:val="000000" w:themeColor="text1"/>
          <w:kern w:val="32"/>
          <w:sz w:val="44"/>
          <w:szCs w:val="44"/>
        </w:rPr>
        <w:br w:type="page"/>
      </w:r>
    </w:p>
    <w:p w14:paraId="2CBE9C66">
      <w:pPr>
        <w:keepNext/>
        <w:keepLines/>
        <w:spacing w:line="276" w:lineRule="auto"/>
        <w:jc w:val="center"/>
        <w:outlineLvl w:val="1"/>
        <w:rPr>
          <w:rFonts w:asciiTheme="minorEastAsia" w:hAnsiTheme="minorEastAsia" w:eastAsiaTheme="minorEastAsia"/>
          <w:bCs/>
          <w:color w:val="000000" w:themeColor="text1"/>
          <w:kern w:val="32"/>
          <w:sz w:val="44"/>
          <w:szCs w:val="44"/>
        </w:rPr>
      </w:pPr>
      <w:bookmarkStart w:id="5" w:name="_Toc21502"/>
      <w:r>
        <w:rPr>
          <w:rFonts w:hint="eastAsia" w:asciiTheme="minorEastAsia" w:hAnsiTheme="minorEastAsia" w:eastAsiaTheme="minorEastAsia"/>
          <w:bCs/>
          <w:color w:val="000000" w:themeColor="text1"/>
          <w:kern w:val="32"/>
          <w:sz w:val="44"/>
          <w:szCs w:val="44"/>
        </w:rPr>
        <w:t>报告正文</w:t>
      </w:r>
      <w:bookmarkEnd w:id="5"/>
    </w:p>
    <w:p w14:paraId="4E5DF610">
      <w:pPr>
        <w:spacing w:line="276" w:lineRule="auto"/>
        <w:outlineLvl w:val="0"/>
        <w:rPr>
          <w:rFonts w:asciiTheme="minorEastAsia" w:hAnsiTheme="minorEastAsia" w:eastAsiaTheme="minorEastAsia"/>
          <w:b/>
          <w:color w:val="000000" w:themeColor="text1"/>
          <w:sz w:val="28"/>
          <w:szCs w:val="28"/>
        </w:rPr>
      </w:pPr>
      <w:bookmarkStart w:id="6" w:name="_Toc5537"/>
      <w:bookmarkStart w:id="7" w:name="_Toc451594565"/>
      <w:bookmarkStart w:id="8" w:name="_Toc451594566"/>
      <w:r>
        <w:rPr>
          <w:rFonts w:hint="eastAsia" w:asciiTheme="minorEastAsia" w:hAnsiTheme="minorEastAsia" w:eastAsiaTheme="minorEastAsia"/>
          <w:b/>
          <w:color w:val="000000" w:themeColor="text1"/>
          <w:sz w:val="28"/>
          <w:szCs w:val="28"/>
        </w:rPr>
        <w:t>一、公司简介</w:t>
      </w:r>
      <w:bookmarkEnd w:id="6"/>
      <w:bookmarkEnd w:id="7"/>
    </w:p>
    <w:p w14:paraId="399A5FBE">
      <w:pPr>
        <w:spacing w:line="360" w:lineRule="auto"/>
        <w:ind w:firstLine="480" w:firstLineChars="200"/>
        <w:rPr>
          <w:rFonts w:ascii="宋体" w:hAnsi="宋体" w:cs="宋体"/>
          <w:sz w:val="24"/>
        </w:rPr>
      </w:pPr>
      <w:r>
        <w:rPr>
          <w:rFonts w:hint="eastAsia" w:ascii="宋体" w:hAnsi="宋体" w:cs="宋体"/>
          <w:sz w:val="24"/>
        </w:rPr>
        <w:t>燎原电缆集团有限公司是一家以专业生产高、低压电力电缆为主营业务的公司，公司座落于素有“模具之乡”、“塑料制品王国”之美誉—中国·台州，紧靠104国道和甬台温高速公路，与台州飞机场、台州新建火车站、台州万吨级码头仅相距5-10公里，交通十分便利。</w:t>
      </w:r>
    </w:p>
    <w:p w14:paraId="3FC7E64F">
      <w:pPr>
        <w:spacing w:line="360" w:lineRule="auto"/>
        <w:ind w:firstLine="480" w:firstLineChars="200"/>
        <w:rPr>
          <w:rFonts w:ascii="宋体" w:hAnsi="宋体" w:cs="宋体"/>
          <w:sz w:val="24"/>
        </w:rPr>
      </w:pPr>
      <w:r>
        <w:rPr>
          <w:rFonts w:hint="eastAsia" w:ascii="宋体" w:hAnsi="宋体" w:cs="宋体"/>
          <w:sz w:val="24"/>
        </w:rPr>
        <w:t>公司拥有国内外先进、齐全的生产设备和检测设备。其主导产品有：交联聚乙烯绝缘电力电缆、架空绝缘电缆、聚氯乙烯绝缘电力电缆、控制电缆、分支电缆、铝绞线等系列产品，产品均按</w:t>
      </w:r>
      <w:r>
        <w:rPr>
          <w:rFonts w:hint="eastAsia" w:ascii="宋体" w:hAnsi="宋体" w:cs="宋体"/>
          <w:sz w:val="24"/>
          <w:lang w:eastAsia="zh-CN"/>
        </w:rPr>
        <w:t>国家</w:t>
      </w:r>
      <w:r>
        <w:rPr>
          <w:rFonts w:hint="eastAsia" w:ascii="宋体" w:hAnsi="宋体" w:cs="宋体"/>
          <w:sz w:val="24"/>
        </w:rPr>
        <w:t>标准和行业标准组织生产。公司率先通过ISO9001质量管理体系认证，产品均获得有关部门认证及煤安证书、生产许可证等。其中公司产品获得国家10项专利。</w:t>
      </w:r>
    </w:p>
    <w:p w14:paraId="683F3AAA">
      <w:pPr>
        <w:spacing w:line="360" w:lineRule="auto"/>
        <w:ind w:firstLine="480" w:firstLineChars="200"/>
        <w:rPr>
          <w:rFonts w:ascii="宋体" w:hAnsi="宋体" w:cs="宋体"/>
          <w:sz w:val="24"/>
        </w:rPr>
      </w:pPr>
      <w:r>
        <w:rPr>
          <w:rFonts w:hint="eastAsia" w:ascii="宋体" w:hAnsi="宋体" w:cs="宋体"/>
          <w:sz w:val="24"/>
        </w:rPr>
        <w:t>部分产品被国家重点项目工程采用，曾先后为：三峡电站、杭州湾大桥、上海地铁三号线、宝山钢铁股份有限公司，凯迪电力、上海建工、大庆油田、北京奥运会曲棍球场馆等重大工程提供产品服务；产品被广泛用于电力、冶金、石油、化工、医疗、国防、煤矿、铁路、港口、建筑等领域。</w:t>
      </w:r>
    </w:p>
    <w:p w14:paraId="4A891ED8">
      <w:pPr>
        <w:spacing w:line="360" w:lineRule="auto"/>
        <w:ind w:firstLine="480" w:firstLineChars="200"/>
        <w:rPr>
          <w:rFonts w:ascii="宋体" w:hAnsi="宋体" w:cs="宋体"/>
          <w:sz w:val="24"/>
        </w:rPr>
      </w:pPr>
      <w:r>
        <w:rPr>
          <w:rFonts w:hint="eastAsia" w:ascii="宋体" w:hAnsi="宋体" w:cs="宋体"/>
          <w:sz w:val="24"/>
        </w:rPr>
        <w:t>我们不仅在电缆应用、电力传输、质量控制等方面积累了丰富的经验，同时我们所开发的节能环保电缆也为客户带来了巨大的便利和效益。</w:t>
      </w:r>
    </w:p>
    <w:p w14:paraId="3BD98F50">
      <w:pPr>
        <w:spacing w:line="360" w:lineRule="auto"/>
        <w:ind w:firstLine="480" w:firstLineChars="200"/>
        <w:rPr>
          <w:rFonts w:ascii="宋体" w:hAnsi="宋体" w:cs="宋体"/>
          <w:sz w:val="24"/>
        </w:rPr>
      </w:pPr>
      <w:r>
        <w:rPr>
          <w:rFonts w:hint="eastAsia" w:ascii="宋体" w:hAnsi="宋体" w:cs="宋体"/>
          <w:sz w:val="24"/>
        </w:rPr>
        <w:t>面对机遇与挑战并存的今天，我们更加一如既往地走在行业的前列，秉承铸就驰名品牌、引领行业未来的精神，不断自我提升企业核心竞争力，和客户一起成长，创造出卓越的最终顾客价值，全力打造国内一流的电线电缆制造企业。</w:t>
      </w:r>
    </w:p>
    <w:p w14:paraId="2938974F">
      <w:pPr>
        <w:spacing w:line="276" w:lineRule="auto"/>
        <w:rPr>
          <w:rFonts w:asciiTheme="minorEastAsia" w:hAnsiTheme="minorEastAsia" w:eastAsiaTheme="minorEastAsia"/>
          <w:b/>
          <w:color w:val="000000" w:themeColor="text1"/>
          <w:sz w:val="28"/>
          <w:szCs w:val="28"/>
        </w:rPr>
        <w:sectPr>
          <w:footerReference r:id="rId6" w:type="default"/>
          <w:pgSz w:w="11906" w:h="16838"/>
          <w:pgMar w:top="1440" w:right="1800" w:bottom="1440" w:left="1800" w:header="851" w:footer="992" w:gutter="0"/>
          <w:cols w:space="425" w:num="1"/>
          <w:docGrid w:type="lines" w:linePitch="312" w:charSpace="0"/>
        </w:sectPr>
      </w:pPr>
    </w:p>
    <w:p w14:paraId="3389F6C2">
      <w:pPr>
        <w:spacing w:line="276" w:lineRule="auto"/>
        <w:outlineLvl w:val="0"/>
        <w:rPr>
          <w:rFonts w:asciiTheme="minorEastAsia" w:hAnsiTheme="minorEastAsia" w:eastAsiaTheme="minorEastAsia"/>
          <w:b/>
          <w:color w:val="000000" w:themeColor="text1"/>
          <w:sz w:val="28"/>
          <w:szCs w:val="28"/>
        </w:rPr>
      </w:pPr>
      <w:bookmarkStart w:id="9" w:name="_Toc17718"/>
      <w:r>
        <w:rPr>
          <w:rFonts w:hint="eastAsia" w:asciiTheme="minorEastAsia" w:hAnsiTheme="minorEastAsia" w:eastAsiaTheme="minorEastAsia"/>
          <w:b/>
          <w:color w:val="000000" w:themeColor="text1"/>
          <w:sz w:val="28"/>
          <w:szCs w:val="28"/>
        </w:rPr>
        <w:t>二、企业质量理念</w:t>
      </w:r>
      <w:bookmarkEnd w:id="8"/>
      <w:bookmarkEnd w:id="9"/>
    </w:p>
    <w:p w14:paraId="3BA4C1CC">
      <w:pPr>
        <w:spacing w:line="312" w:lineRule="auto"/>
        <w:ind w:firstLine="420" w:firstLineChars="200"/>
        <w:rPr>
          <w:rFonts w:asciiTheme="minorEastAsia" w:hAnsiTheme="minorEastAsia" w:eastAsiaTheme="minorEastAsia"/>
          <w:bCs/>
          <w:color w:val="000000" w:themeColor="text1"/>
          <w:szCs w:val="21"/>
        </w:rPr>
      </w:pPr>
      <w:r>
        <w:rPr>
          <w:rFonts w:hint="eastAsia" w:cs="仿宋_GB2312" w:asciiTheme="minorEastAsia" w:hAnsiTheme="minorEastAsia" w:eastAsiaTheme="minorEastAsia"/>
          <w:color w:val="000000" w:themeColor="text1"/>
          <w:szCs w:val="21"/>
        </w:rPr>
        <w:t>公司自创立至今，便致力于产品质量的管控。始终秉持产品质量是企业生存和发展的基石，是占领市场和赢得顾客的先决条件，质量源自于我心，企业依存于顾客的质量理念，不断的完善和提升公司的质量管理水平。公司自从通过质量管理体系认证公司始终坚持：“</w:t>
      </w:r>
      <w:r>
        <w:rPr>
          <w:rFonts w:hint="eastAsia"/>
        </w:rPr>
        <w:t>恪守质量第一，追求管理创新</w:t>
      </w:r>
      <w:r>
        <w:rPr>
          <w:rFonts w:hint="eastAsia" w:cs="仿宋_GB2312" w:asciiTheme="minorEastAsia" w:hAnsiTheme="minorEastAsia" w:eastAsiaTheme="minorEastAsia"/>
          <w:color w:val="000000" w:themeColor="text1"/>
          <w:szCs w:val="21"/>
        </w:rPr>
        <w:t>”的</w:t>
      </w:r>
      <w:r>
        <w:rPr>
          <w:rFonts w:hint="eastAsia" w:cs="仿宋_GB2312" w:asciiTheme="minorEastAsia" w:hAnsiTheme="minorEastAsia" w:eastAsiaTheme="minorEastAsia"/>
          <w:szCs w:val="21"/>
        </w:rPr>
        <w:t>质量方针</w:t>
      </w:r>
      <w:r>
        <w:rPr>
          <w:rFonts w:hint="eastAsia" w:cs="仿宋_GB2312" w:asciiTheme="minorEastAsia" w:hAnsiTheme="minorEastAsia" w:eastAsiaTheme="minorEastAsia"/>
          <w:color w:val="000000" w:themeColor="text1"/>
          <w:szCs w:val="21"/>
        </w:rPr>
        <w:t>，严格按法律法规要求、质量管理体系标准要求、管理手册要求、程序文件要求等执行，使企业的质量管理体系得到有效运行，使产品质量得到有力的保障和不断的提升，从而使企业各项质量目标基本得以达成。为从根本上加强和提升质量管理，提高公司经营质量，公司更以卓越绩效模式的导入为契机，推行全面质量管理，运用项目管理，通过内部审核、自我评价、第二方审核、第三方审核或评价、质量月等活动，不断寻找改进的机会改进质量管理，逐步实现卓越绩效。公司自建立以来，公司从未出现过重大质量投诉，在历年接受各级质量技术部门的抽检中，合格率均达100%。企业使命：</w:t>
      </w:r>
      <w:r>
        <w:rPr>
          <w:rFonts w:hint="eastAsia" w:ascii="宋体" w:hAnsi="宋体"/>
          <w:color w:val="000000" w:themeColor="text1"/>
          <w:szCs w:val="21"/>
        </w:rPr>
        <w:t>用高新技术改造传统产业，为顾客提供最佳的电缆技术解决方案</w:t>
      </w:r>
      <w:r>
        <w:rPr>
          <w:rFonts w:hint="eastAsia" w:asciiTheme="minorEastAsia" w:hAnsiTheme="minorEastAsia" w:eastAsiaTheme="minorEastAsia"/>
          <w:bCs/>
          <w:color w:val="000000" w:themeColor="text1"/>
          <w:szCs w:val="21"/>
        </w:rPr>
        <w:t>。</w:t>
      </w:r>
    </w:p>
    <w:p w14:paraId="4231EC2F">
      <w:pPr>
        <w:spacing w:line="312" w:lineRule="auto"/>
        <w:ind w:firstLine="422" w:firstLineChars="200"/>
        <w:rPr>
          <w:b/>
          <w:bCs/>
          <w:szCs w:val="21"/>
        </w:rPr>
      </w:pPr>
      <w:r>
        <w:rPr>
          <w:rFonts w:hint="eastAsia"/>
          <w:b/>
          <w:bCs/>
          <w:szCs w:val="21"/>
        </w:rPr>
        <w:t>企业使命：用高新技术改造传统产业，做客户满意的电缆产品</w:t>
      </w:r>
    </w:p>
    <w:p w14:paraId="715ECAE3">
      <w:pPr>
        <w:spacing w:line="312" w:lineRule="auto"/>
        <w:ind w:firstLine="422" w:firstLineChars="200"/>
        <w:rPr>
          <w:b/>
          <w:bCs/>
          <w:szCs w:val="21"/>
        </w:rPr>
      </w:pPr>
      <w:r>
        <w:rPr>
          <w:rFonts w:hint="eastAsia"/>
          <w:b/>
          <w:bCs/>
          <w:szCs w:val="21"/>
        </w:rPr>
        <w:t>企业愿景：成为国内电缆行业的先进企业。</w:t>
      </w:r>
    </w:p>
    <w:p w14:paraId="4AFBA986">
      <w:pPr>
        <w:spacing w:line="312" w:lineRule="auto"/>
        <w:ind w:firstLine="422" w:firstLineChars="200"/>
        <w:rPr>
          <w:b/>
          <w:bCs/>
          <w:szCs w:val="21"/>
        </w:rPr>
      </w:pPr>
      <w:r>
        <w:rPr>
          <w:rFonts w:hint="eastAsia"/>
          <w:b/>
          <w:bCs/>
          <w:szCs w:val="21"/>
        </w:rPr>
        <w:t>核心价值观：和谐、诚信、创新、奋进。</w:t>
      </w:r>
      <w:bookmarkStart w:id="10" w:name="_Toc451594567"/>
    </w:p>
    <w:p w14:paraId="1D996BD7">
      <w:pPr>
        <w:spacing w:line="312" w:lineRule="auto"/>
        <w:outlineLvl w:val="0"/>
        <w:rPr>
          <w:rFonts w:asciiTheme="minorEastAsia" w:hAnsiTheme="minorEastAsia" w:eastAsiaTheme="minorEastAsia"/>
          <w:b/>
          <w:color w:val="000000" w:themeColor="text1"/>
          <w:sz w:val="28"/>
          <w:szCs w:val="28"/>
        </w:rPr>
        <w:sectPr>
          <w:pgSz w:w="11906" w:h="16838"/>
          <w:pgMar w:top="1440" w:right="1800" w:bottom="1440" w:left="1800" w:header="851" w:footer="992" w:gutter="0"/>
          <w:cols w:space="425" w:num="1"/>
          <w:docGrid w:type="lines" w:linePitch="312" w:charSpace="0"/>
        </w:sectPr>
      </w:pPr>
      <w:r>
        <w:rPr>
          <w:rFonts w:hint="eastAsia" w:asciiTheme="minorEastAsia" w:hAnsiTheme="minorEastAsia" w:eastAsiaTheme="minorEastAsia"/>
          <w:b/>
          <w:color w:val="000000" w:themeColor="text1"/>
          <w:sz w:val="24"/>
        </w:rPr>
        <w:t xml:space="preserve"> </w:t>
      </w:r>
      <w:r>
        <w:rPr>
          <w:rFonts w:hint="eastAsia" w:asciiTheme="minorEastAsia" w:hAnsiTheme="minorEastAsia" w:eastAsiaTheme="minorEastAsia"/>
          <w:b/>
          <w:color w:val="000000" w:themeColor="text1"/>
          <w:szCs w:val="21"/>
        </w:rPr>
        <w:t xml:space="preserve">  </w:t>
      </w:r>
      <w:bookmarkStart w:id="11" w:name="_Toc21419"/>
      <w:r>
        <w:rPr>
          <w:rFonts w:hint="eastAsia" w:asciiTheme="minorEastAsia" w:hAnsiTheme="minorEastAsia" w:eastAsiaTheme="minorEastAsia"/>
          <w:b/>
          <w:color w:val="000000" w:themeColor="text1"/>
          <w:szCs w:val="21"/>
        </w:rPr>
        <w:t>公司管理方针：</w:t>
      </w:r>
      <w:r>
        <w:rPr>
          <w:rFonts w:hint="eastAsia"/>
          <w:szCs w:val="21"/>
        </w:rPr>
        <w:t>恪守质量第一，追求管理创新；环境治理齐动手，安全预防不放松；科学管理除隐患，改善环境保健康。</w:t>
      </w:r>
      <w:bookmarkEnd w:id="11"/>
    </w:p>
    <w:p w14:paraId="2E9EEE50">
      <w:pPr>
        <w:spacing w:line="276" w:lineRule="auto"/>
        <w:outlineLvl w:val="0"/>
        <w:rPr>
          <w:rFonts w:asciiTheme="minorEastAsia" w:hAnsiTheme="minorEastAsia" w:eastAsiaTheme="minorEastAsia"/>
          <w:b/>
          <w:color w:val="000000" w:themeColor="text1"/>
          <w:sz w:val="28"/>
          <w:szCs w:val="28"/>
        </w:rPr>
      </w:pPr>
      <w:bookmarkStart w:id="12" w:name="_Toc8355"/>
      <w:r>
        <w:rPr>
          <w:rFonts w:hint="eastAsia" w:asciiTheme="minorEastAsia" w:hAnsiTheme="minorEastAsia" w:eastAsiaTheme="minorEastAsia"/>
          <w:b/>
          <w:color w:val="000000" w:themeColor="text1"/>
          <w:sz w:val="28"/>
          <w:szCs w:val="28"/>
        </w:rPr>
        <w:t>三、企业质量管理</w:t>
      </w:r>
      <w:bookmarkEnd w:id="10"/>
      <w:bookmarkEnd w:id="12"/>
    </w:p>
    <w:p w14:paraId="526CD41F">
      <w:pPr>
        <w:spacing w:line="360" w:lineRule="auto"/>
        <w:ind w:firstLine="482" w:firstLineChars="200"/>
        <w:outlineLvl w:val="1"/>
        <w:rPr>
          <w:rFonts w:cs="仿宋_GB2312" w:asciiTheme="minorEastAsia" w:hAnsiTheme="minorEastAsia" w:eastAsiaTheme="minorEastAsia"/>
          <w:b/>
          <w:bCs/>
          <w:color w:val="000000" w:themeColor="text1"/>
          <w:sz w:val="24"/>
        </w:rPr>
      </w:pPr>
      <w:bookmarkStart w:id="13" w:name="_Toc8423"/>
      <w:r>
        <w:rPr>
          <w:rFonts w:hint="eastAsia" w:cs="仿宋_GB2312" w:asciiTheme="minorEastAsia" w:hAnsiTheme="minorEastAsia" w:eastAsiaTheme="minorEastAsia"/>
          <w:b/>
          <w:bCs/>
          <w:color w:val="000000" w:themeColor="text1"/>
          <w:sz w:val="24"/>
        </w:rPr>
        <w:t>（一）质量管理机构</w:t>
      </w:r>
      <w:bookmarkEnd w:id="13"/>
    </w:p>
    <w:p w14:paraId="534FCBF3">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产品是过程的输出或结果。产品的质量是由过程质量决定的，过程的质量是由系统的质量决定的。为确保系统、过程、产品的质量，公司依据质量管理体系标准要求，运用管理的系统方法、过程方法，识别了所需的过程及其接口关系，建立了公司的质量管理架构。</w:t>
      </w:r>
    </w:p>
    <w:p w14:paraId="6C269348">
      <w:pPr>
        <w:pStyle w:val="21"/>
        <w:spacing w:before="0" w:beforeAutospacing="0" w:after="0" w:afterAutospacing="0" w:line="312" w:lineRule="auto"/>
        <w:ind w:firstLine="422" w:firstLineChars="200"/>
        <w:rPr>
          <w:b/>
          <w:color w:val="000000"/>
          <w:sz w:val="21"/>
          <w:szCs w:val="21"/>
        </w:rPr>
      </w:pPr>
      <w:r>
        <w:rPr>
          <w:rFonts w:hint="eastAsia"/>
          <w:b/>
          <w:color w:val="000000"/>
          <w:sz w:val="21"/>
          <w:szCs w:val="21"/>
        </w:rPr>
        <w:t>1</w:t>
      </w:r>
      <w:r>
        <w:rPr>
          <w:rFonts w:hint="eastAsia"/>
          <w:b/>
          <w:sz w:val="21"/>
          <w:szCs w:val="21"/>
        </w:rPr>
        <w:t>、</w:t>
      </w:r>
      <w:r>
        <w:rPr>
          <w:rFonts w:hint="eastAsia"/>
          <w:b/>
          <w:color w:val="000000"/>
          <w:sz w:val="21"/>
          <w:szCs w:val="21"/>
        </w:rPr>
        <w:t>公司组织结构</w:t>
      </w:r>
    </w:p>
    <w:p w14:paraId="5CDD5BD3">
      <w:pPr>
        <w:pStyle w:val="37"/>
        <w:numPr>
          <w:ilvl w:val="0"/>
          <w:numId w:val="0"/>
        </w:numPr>
        <w:spacing w:beforeLines="0" w:afterLines="0" w:line="360" w:lineRule="auto"/>
        <w:jc w:val="center"/>
        <w:rPr>
          <w:rFonts w:ascii="宋体" w:hAnsi="宋体" w:eastAsia="宋体"/>
          <w:b/>
          <w:color w:val="000000"/>
          <w:szCs w:val="21"/>
        </w:rPr>
      </w:pPr>
      <w:bookmarkStart w:id="14" w:name="_Toc14851"/>
      <w:r>
        <w:rPr>
          <w:rFonts w:hint="eastAsia" w:ascii="宋体" w:hAnsi="宋体" w:eastAsia="宋体"/>
          <w:b/>
          <w:color w:val="000000"/>
          <w:szCs w:val="21"/>
        </w:rPr>
        <w:t>图表1 燎原电缆集团有限公司组织机构图</w:t>
      </w:r>
      <w:bookmarkEnd w:id="14"/>
    </w:p>
    <w:p w14:paraId="608689DD">
      <w:pPr>
        <w:spacing w:line="0" w:lineRule="atLeast"/>
        <w:rPr>
          <w:rFonts w:ascii="黑体" w:hAnsi="宋体" w:eastAsia="黑体"/>
          <w:b/>
          <w:color w:val="000000"/>
          <w:sz w:val="36"/>
          <w:szCs w:val="36"/>
        </w:rPr>
      </w:pPr>
      <w:r>
        <w:rPr>
          <w:sz w:val="36"/>
        </w:rPr>
        <w:pict>
          <v:shape id="AutoShape 87" o:spid="_x0000_s1057" o:spt="109" type="#_x0000_t109" style="position:absolute;left:0pt;margin-left:203pt;margin-top:11.15pt;height:21.4pt;width:57.55pt;z-index:251667456;mso-width-relative:page;mso-height-relative:page;" fillcolor="#9CBEE0" filled="t" stroked="t" coordsize="21600,21600">
            <v:path/>
            <v:fill type="gradient" on="t" color2="#BBD5F0" focussize="0f,0f">
              <o:fill type="gradientUnscaled" v:ext="backwardCompatible"/>
            </v:fill>
            <v:stroke weight="1.25pt" color="#739CC3" joinstyle="miter"/>
            <v:imagedata o:title=""/>
            <o:lock v:ext="edit"/>
            <v:textbox>
              <w:txbxContent>
                <w:p w14:paraId="3852B574">
                  <w:r>
                    <w:rPr>
                      <w:rFonts w:hint="eastAsia"/>
                    </w:rPr>
                    <w:t xml:space="preserve"> 总经理</w:t>
                  </w:r>
                </w:p>
              </w:txbxContent>
            </v:textbox>
          </v:shape>
        </w:pict>
      </w:r>
    </w:p>
    <w:p w14:paraId="2F006FC8">
      <w:pPr>
        <w:spacing w:line="0" w:lineRule="atLeast"/>
        <w:rPr>
          <w:rFonts w:ascii="黑体" w:hAnsi="宋体" w:eastAsia="黑体"/>
          <w:b/>
          <w:color w:val="000000"/>
          <w:sz w:val="36"/>
          <w:szCs w:val="36"/>
        </w:rPr>
      </w:pPr>
      <w:r>
        <w:rPr>
          <w:sz w:val="36"/>
        </w:rPr>
        <w:pict>
          <v:line id="_x0000_s1058" o:spid="_x0000_s1058" o:spt="20" style="position:absolute;left:0pt;margin-left:226.9pt;margin-top:8.2pt;height:30.65pt;width:0.05pt;z-index:251678720;mso-width-relative:page;mso-height-relative:page;" stroked="t" coordsize="21600,21600">
            <v:path arrowok="t"/>
            <v:fill focussize="0,0"/>
            <v:stroke weight="1.25pt" color="#739CC3"/>
            <v:imagedata o:title=""/>
            <o:lock v:ext="edit"/>
          </v:line>
        </w:pict>
      </w:r>
    </w:p>
    <w:p w14:paraId="497D1E3E">
      <w:pPr>
        <w:spacing w:line="0" w:lineRule="atLeast"/>
        <w:rPr>
          <w:rFonts w:ascii="黑体" w:hAnsi="宋体" w:eastAsia="黑体"/>
          <w:b/>
          <w:color w:val="000000"/>
          <w:sz w:val="36"/>
          <w:szCs w:val="36"/>
        </w:rPr>
      </w:pPr>
      <w:r>
        <w:rPr>
          <w:sz w:val="36"/>
        </w:rPr>
        <w:pict>
          <v:line id="_x0000_s1059" o:spid="_x0000_s1059" o:spt="20" style="position:absolute;left:0pt;flip:x;margin-left:469.75pt;margin-top:15.95pt;height:23.45pt;width:0.1pt;z-index:251692032;mso-width-relative:page;mso-height-relative:page;" stroked="t" coordsize="21600,21600">
            <v:path arrowok="t"/>
            <v:fill focussize="0,0"/>
            <v:stroke weight="1.25pt" color="#739CC3"/>
            <v:imagedata o:title=""/>
            <o:lock v:ext="edit"/>
          </v:line>
        </w:pict>
      </w:r>
      <w:r>
        <w:rPr>
          <w:sz w:val="36"/>
        </w:rPr>
        <w:pict>
          <v:line id="_x0000_s1060" o:spid="_x0000_s1060" o:spt="20" style="position:absolute;left:0pt;flip:x;margin-left:405.3pt;margin-top:15.9pt;height:23.45pt;width:0.1pt;z-index:251677696;mso-width-relative:page;mso-height-relative:page;" stroked="t" coordsize="21600,21600">
            <v:path arrowok="t"/>
            <v:fill focussize="0,0"/>
            <v:stroke weight="1.25pt" color="#739CC3"/>
            <v:imagedata o:title=""/>
            <o:lock v:ext="edit"/>
          </v:line>
        </w:pict>
      </w:r>
      <w:r>
        <w:rPr>
          <w:sz w:val="36"/>
        </w:rPr>
        <w:pict>
          <v:line id="_x0000_s1061" o:spid="_x0000_s1061" o:spt="20" style="position:absolute;left:0pt;flip:y;margin-left:336.65pt;margin-top:15.45pt;height:27.4pt;width:0.05pt;z-index:251663360;mso-width-relative:page;mso-height-relative:page;" stroked="t" coordsize="21600,21600">
            <v:path arrowok="t"/>
            <v:fill focussize="0,0"/>
            <v:stroke weight="1.25pt" color="#739CC3"/>
            <v:imagedata o:title=""/>
            <o:lock v:ext="edit"/>
          </v:line>
        </w:pict>
      </w:r>
      <w:r>
        <w:rPr>
          <w:sz w:val="36"/>
        </w:rPr>
        <w:pict>
          <v:line id="_x0000_s1062" o:spid="_x0000_s1062" o:spt="20" style="position:absolute;left:0pt;flip:x y;margin-left:91.45pt;margin-top:16.25pt;height:24.65pt;width:0.6pt;z-index:251674624;mso-width-relative:page;mso-height-relative:page;" stroked="t" coordsize="21600,21600">
            <v:path arrowok="t"/>
            <v:fill focussize="0,0"/>
            <v:stroke weight="1.25pt" color="#739CC3"/>
            <v:imagedata o:title=""/>
            <o:lock v:ext="edit"/>
          </v:line>
        </w:pict>
      </w:r>
      <w:r>
        <w:rPr>
          <w:sz w:val="36"/>
        </w:rPr>
        <w:pict>
          <v:line id="_x0000_s1063" o:spid="_x0000_s1063" o:spt="20" style="position:absolute;left:0pt;flip:y;margin-left:174.2pt;margin-top:15.9pt;height:25.95pt;width:0.1pt;z-index:251679744;mso-width-relative:page;mso-height-relative:page;" stroked="t" coordsize="21600,21600">
            <v:path arrowok="t"/>
            <v:fill focussize="0,0"/>
            <v:stroke weight="1.25pt" color="#739CC3"/>
            <v:imagedata o:title=""/>
            <o:lock v:ext="edit"/>
          </v:line>
        </w:pict>
      </w:r>
      <w:r>
        <w:rPr>
          <w:sz w:val="36"/>
        </w:rPr>
        <w:pict>
          <v:line id="_x0000_s1064" o:spid="_x0000_s1064" o:spt="20" style="position:absolute;left:0pt;flip:x y;margin-left:257.9pt;margin-top:15.05pt;height:25.4pt;width:0.6pt;z-index:251675648;mso-width-relative:page;mso-height-relative:page;" stroked="t" coordsize="21600,21600">
            <v:path arrowok="t"/>
            <v:fill focussize="0,0"/>
            <v:stroke weight="1.25pt" color="#739CC3"/>
            <v:imagedata o:title=""/>
            <o:lock v:ext="edit"/>
          </v:line>
        </w:pict>
      </w:r>
      <w:r>
        <w:rPr>
          <w:sz w:val="36"/>
        </w:rPr>
        <w:pict>
          <v:line id="_x0000_s1065" o:spid="_x0000_s1065" o:spt="20" style="position:absolute;left:0pt;flip:y;margin-left:29.25pt;margin-top:15.35pt;height:22.65pt;width:0.05pt;z-index:251673600;mso-width-relative:page;mso-height-relative:page;" stroked="t" coordsize="21600,21600">
            <v:path arrowok="t"/>
            <v:fill focussize="0,0"/>
            <v:stroke weight="1.25pt" color="#739CC3"/>
            <v:imagedata o:title=""/>
            <o:lock v:ext="edit"/>
          </v:line>
        </w:pict>
      </w:r>
      <w:r>
        <w:rPr>
          <w:sz w:val="36"/>
        </w:rPr>
        <w:pict>
          <v:line id="_x0000_s1066" o:spid="_x0000_s1066" o:spt="20" style="position:absolute;left:0pt;margin-left:30.05pt;margin-top:16pt;height:0.75pt;width:440.2pt;z-index:251676672;mso-width-relative:page;mso-height-relative:page;" stroked="t" coordsize="21600,21600">
            <v:path arrowok="t"/>
            <v:fill focussize="0,0"/>
            <v:stroke weight="1.25pt" color="#739CC3"/>
            <v:imagedata o:title=""/>
            <o:lock v:ext="edit"/>
          </v:line>
        </w:pict>
      </w:r>
    </w:p>
    <w:p w14:paraId="62AB8A49">
      <w:pPr>
        <w:spacing w:line="0" w:lineRule="atLeast"/>
        <w:rPr>
          <w:rFonts w:ascii="黑体" w:hAnsi="宋体" w:eastAsia="黑体"/>
          <w:b/>
          <w:color w:val="000000"/>
          <w:sz w:val="36"/>
          <w:szCs w:val="36"/>
        </w:rPr>
      </w:pPr>
      <w:r>
        <w:rPr>
          <w:sz w:val="36"/>
        </w:rPr>
        <w:pict>
          <v:shape id="_x0000_s1068" o:spid="_x0000_s1068" o:spt="109" type="#_x0000_t109" style="position:absolute;left:0pt;margin-left:432.4pt;margin-top:16.5pt;height:23.15pt;width:49.95pt;z-index:251693056;mso-width-relative:page;mso-height-relative:page;" fillcolor="#9CBEE0" filled="t" stroked="t" coordsize="21600,21600">
            <v:path/>
            <v:fill type="gradient" on="t" color2="#BBD5F0" focussize="0f,0f">
              <o:fill type="gradientUnscaled" v:ext="backwardCompatible"/>
            </v:fill>
            <v:stroke weight="1.25pt" color="#739CC3" joinstyle="miter"/>
            <v:imagedata o:title=""/>
            <o:lock v:ext="edit"/>
            <v:textbox>
              <w:txbxContent>
                <w:p w14:paraId="10A57661">
                  <w:r>
                    <w:rPr>
                      <w:rFonts w:hint="eastAsia"/>
                    </w:rPr>
                    <w:t>财务部</w:t>
                  </w:r>
                </w:p>
              </w:txbxContent>
            </v:textbox>
          </v:shape>
        </w:pict>
      </w:r>
      <w:r>
        <w:rPr>
          <w:sz w:val="36"/>
        </w:rPr>
        <w:pict>
          <v:shape id="AutoShape 117" o:spid="_x0000_s1067" o:spt="109" type="#_x0000_t109" style="position:absolute;left:0pt;margin-left:374.45pt;margin-top:17.9pt;height:23.15pt;width:49.95pt;z-index:251672576;mso-width-relative:page;mso-height-relative:page;" fillcolor="#9CBEE0" filled="t" stroked="t" coordsize="21600,21600">
            <v:path/>
            <v:fill type="gradient" on="t" color2="#BBD5F0" focussize="0f,0f">
              <o:fill type="gradientUnscaled" v:ext="backwardCompatible"/>
            </v:fill>
            <v:stroke weight="1.25pt" color="#739CC3" joinstyle="miter"/>
            <v:imagedata o:title=""/>
            <o:lock v:ext="edit"/>
            <v:textbox>
              <w:txbxContent>
                <w:p w14:paraId="210A886F">
                  <w:pPr>
                    <w:jc w:val="center"/>
                  </w:pPr>
                  <w:r>
                    <w:rPr>
                      <w:rFonts w:hint="eastAsia"/>
                    </w:rPr>
                    <w:t>技术部</w:t>
                  </w:r>
                </w:p>
              </w:txbxContent>
            </v:textbox>
          </v:shape>
        </w:pict>
      </w:r>
      <w:r>
        <w:rPr>
          <w:sz w:val="36"/>
        </w:rPr>
        <w:pict>
          <v:shape id="AutoShape 122" o:spid="_x0000_s1069" o:spt="109" type="#_x0000_t109" style="position:absolute;left:0pt;margin-left:309.25pt;margin-top:17.15pt;height:23.05pt;width:54.7pt;z-index:251670528;mso-width-relative:page;mso-height-relative:page;" fillcolor="#9CBEE0" filled="t" stroked="t" coordsize="21600,21600">
            <v:path/>
            <v:fill type="gradient" on="t" color2="#BBD5F0" focussize="0f,0f">
              <o:fill type="gradientUnscaled" v:ext="backwardCompatible"/>
            </v:fill>
            <v:stroke weight="1.25pt" color="#739CC3" joinstyle="miter"/>
            <v:imagedata o:title=""/>
            <o:lock v:ext="edit"/>
            <v:textbox>
              <w:txbxContent>
                <w:p w14:paraId="74EDAB5A">
                  <w:pPr>
                    <w:jc w:val="center"/>
                    <w:rPr>
                      <w:color w:val="000000"/>
                    </w:rPr>
                  </w:pPr>
                  <w:r>
                    <w:rPr>
                      <w:rFonts w:hint="eastAsia"/>
                      <w:color w:val="000000"/>
                    </w:rPr>
                    <w:t>品管部</w:t>
                  </w:r>
                </w:p>
              </w:txbxContent>
            </v:textbox>
          </v:shape>
        </w:pict>
      </w:r>
      <w:r>
        <w:rPr>
          <w:sz w:val="36"/>
        </w:rPr>
        <w:pict>
          <v:shape id="AutoShape 116" o:spid="_x0000_s1070" o:spt="109" type="#_x0000_t109" style="position:absolute;left:0pt;margin-left:229.3pt;margin-top:16.4pt;height:23.75pt;width:58.2pt;z-index:251671552;mso-width-relative:page;mso-height-relative:page;" fillcolor="#9CBEE0" filled="t" stroked="t" coordsize="21600,21600">
            <v:path/>
            <v:fill type="gradient" on="t" color2="#BBD5F0" focussize="0f,0f">
              <o:fill type="gradientUnscaled" v:ext="backwardCompatible"/>
            </v:fill>
            <v:stroke weight="1.25pt" color="#739CC3" joinstyle="miter"/>
            <v:imagedata o:title=""/>
            <o:lock v:ext="edit"/>
            <v:textbox>
              <w:txbxContent>
                <w:p w14:paraId="511FABB9">
                  <w:pPr>
                    <w:jc w:val="center"/>
                  </w:pPr>
                  <w:r>
                    <w:rPr>
                      <w:rFonts w:hint="eastAsia"/>
                    </w:rPr>
                    <w:t>生产部</w:t>
                  </w:r>
                </w:p>
              </w:txbxContent>
            </v:textbox>
          </v:shape>
        </w:pict>
      </w:r>
      <w:r>
        <w:rPr>
          <w:sz w:val="36"/>
        </w:rPr>
        <w:pict>
          <v:shape id="_x0000_s1071" o:spid="_x0000_s1071" o:spt="109" type="#_x0000_t109" style="position:absolute;left:0pt;margin-left:146.15pt;margin-top:17.2pt;height:23.05pt;width:54.7pt;z-index:251680768;mso-width-relative:page;mso-height-relative:page;" fillcolor="#9CBEE0" filled="t" stroked="t" coordsize="21600,21600">
            <v:path/>
            <v:fill type="gradient" on="t" color2="#BBD5F0" focussize="0f,0f">
              <o:fill type="gradientUnscaled" v:ext="backwardCompatible"/>
            </v:fill>
            <v:stroke weight="1.25pt" color="#739CC3" joinstyle="miter"/>
            <v:imagedata o:title=""/>
            <o:lock v:ext="edit"/>
            <v:textbox>
              <w:txbxContent>
                <w:p w14:paraId="434112D6">
                  <w:pPr>
                    <w:jc w:val="center"/>
                  </w:pPr>
                  <w:r>
                    <w:rPr>
                      <w:rFonts w:hint="eastAsia"/>
                    </w:rPr>
                    <w:t>采购部</w:t>
                  </w:r>
                </w:p>
              </w:txbxContent>
            </v:textbox>
          </v:shape>
        </w:pict>
      </w:r>
      <w:r>
        <w:rPr>
          <w:sz w:val="36"/>
        </w:rPr>
        <w:pict>
          <v:shape id="AutoShape 120" o:spid="_x0000_s1072" o:spt="109" type="#_x0000_t109" style="position:absolute;left:0pt;margin-left:68.15pt;margin-top:16.6pt;height:24.05pt;width:49.05pt;z-index:251669504;mso-width-relative:page;mso-height-relative:page;" fillcolor="#9CBEE0" filled="t" stroked="t" coordsize="21600,21600">
            <v:path/>
            <v:fill type="gradient" on="t" color2="#BBD5F0" focussize="0f,0f">
              <o:fill type="gradientUnscaled" v:ext="backwardCompatible"/>
            </v:fill>
            <v:stroke weight="1.25pt" color="#739CC3" joinstyle="miter"/>
            <v:imagedata o:title=""/>
            <o:lock v:ext="edit"/>
            <v:textbox>
              <w:txbxContent>
                <w:p w14:paraId="15080FF6">
                  <w:r>
                    <w:rPr>
                      <w:rFonts w:hint="eastAsia"/>
                    </w:rPr>
                    <w:t>营销部部</w:t>
                  </w:r>
                </w:p>
              </w:txbxContent>
            </v:textbox>
          </v:shape>
        </w:pict>
      </w:r>
      <w:r>
        <w:rPr>
          <w:sz w:val="36"/>
        </w:rPr>
        <w:pict>
          <v:shape id="AutoShape 119" o:spid="_x0000_s1073" o:spt="109" type="#_x0000_t109" style="position:absolute;left:0pt;margin-left:4.5pt;margin-top:16.3pt;height:23.7pt;width:49.15pt;z-index:251668480;mso-width-relative:page;mso-height-relative:page;" fillcolor="#9CBEE0" filled="t" stroked="t" coordsize="21600,21600">
            <v:path/>
            <v:fill type="gradient" on="t" color2="#BBD5F0" focussize="0f,0f">
              <o:fill type="gradientUnscaled" v:ext="backwardCompatible"/>
            </v:fill>
            <v:stroke weight="1.25pt" color="#739CC3" joinstyle="miter"/>
            <v:imagedata o:title=""/>
            <o:lock v:ext="edit"/>
            <v:textbox>
              <w:txbxContent>
                <w:p w14:paraId="7559F1D4">
                  <w:r>
                    <w:rPr>
                      <w:rFonts w:hint="eastAsia"/>
                    </w:rPr>
                    <w:t>办公室</w:t>
                  </w:r>
                </w:p>
              </w:txbxContent>
            </v:textbox>
          </v:shape>
        </w:pict>
      </w:r>
    </w:p>
    <w:p w14:paraId="179D4F82">
      <w:pPr>
        <w:spacing w:line="0" w:lineRule="atLeast"/>
        <w:rPr>
          <w:rFonts w:ascii="黑体" w:hAnsi="宋体" w:eastAsia="黑体"/>
          <w:b/>
          <w:color w:val="000000"/>
          <w:sz w:val="36"/>
          <w:szCs w:val="36"/>
        </w:rPr>
      </w:pPr>
      <w:r>
        <w:rPr>
          <w:sz w:val="36"/>
        </w:rPr>
        <w:pict>
          <v:line id="_x0000_s1074" o:spid="_x0000_s1074" o:spt="20" style="position:absolute;left:0pt;flip:y;margin-left:336.45pt;margin-top:16.9pt;height:20pt;width:0.05pt;z-index:251685888;mso-width-relative:page;mso-height-relative:page;" filled="t" stroked="t" coordsize="21600,21600">
            <v:path arrowok="t"/>
            <v:fill on="t" focussize="0,0"/>
            <v:stroke weight="1.25pt" color="#739CC3"/>
            <v:imagedata o:title=""/>
            <o:lock v:ext="edit"/>
          </v:line>
        </w:pict>
      </w:r>
      <w:r>
        <w:rPr>
          <w:sz w:val="36"/>
        </w:rPr>
        <w:pict>
          <v:line id="_x0000_s1075" o:spid="_x0000_s1075" o:spt="20" style="position:absolute;left:0pt;flip:x y;margin-left:258pt;margin-top:17.25pt;height:20pt;width:0.65pt;z-index:251686912;mso-width-relative:page;mso-height-relative:page;" stroked="t" coordsize="21600,21600">
            <v:path arrowok="t"/>
            <v:fill focussize="0,0"/>
            <v:stroke weight="1.25pt" color="#739CC3"/>
            <v:imagedata o:title=""/>
            <o:lock v:ext="edit"/>
          </v:line>
        </w:pict>
      </w:r>
      <w:r>
        <w:rPr>
          <w:sz w:val="36"/>
        </w:rPr>
        <w:pict>
          <v:line id="_x0000_s1076" o:spid="_x0000_s1076" o:spt="20" style="position:absolute;left:0pt;flip:y;margin-left:174.35pt;margin-top:16.55pt;height:20pt;width:0.05pt;z-index:251683840;mso-width-relative:page;mso-height-relative:page;" filled="t" stroked="t" coordsize="21600,21600">
            <v:path arrowok="t"/>
            <v:fill on="t" focussize="0,0"/>
            <v:stroke weight="1.25pt" color="#739CC3"/>
            <v:imagedata o:title=""/>
            <o:lock v:ext="edit"/>
          </v:line>
        </w:pict>
      </w:r>
      <w:r>
        <w:rPr>
          <w:sz w:val="36"/>
        </w:rPr>
        <w:pict>
          <v:line id="_x0000_s1077" o:spid="_x0000_s1077" o:spt="20" style="position:absolute;left:0pt;flip:y;margin-left:92.65pt;margin-top:17.25pt;height:20pt;width:0.05pt;z-index:251681792;mso-width-relative:page;mso-height-relative:page;" filled="t" stroked="t" coordsize="21600,21600">
            <v:path arrowok="t"/>
            <v:fill on="t" focussize="0,0"/>
            <v:stroke weight="1.25pt" color="#739CC3"/>
            <v:imagedata o:title=""/>
            <o:lock v:ext="edit"/>
          </v:line>
        </w:pict>
      </w:r>
    </w:p>
    <w:p w14:paraId="79C0B90C">
      <w:pPr>
        <w:spacing w:line="0" w:lineRule="atLeast"/>
        <w:rPr>
          <w:rFonts w:ascii="黑体" w:hAnsi="宋体" w:eastAsia="黑体"/>
          <w:b/>
          <w:color w:val="000000"/>
          <w:sz w:val="36"/>
          <w:szCs w:val="36"/>
        </w:rPr>
      </w:pPr>
      <w:r>
        <w:rPr>
          <w:sz w:val="36"/>
        </w:rPr>
        <w:pict>
          <v:shape id="_x0000_s1078" o:spid="_x0000_s1078" o:spt="109" type="#_x0000_t109" style="position:absolute;left:0pt;margin-left:309.45pt;margin-top:13.8pt;height:23.05pt;width:54.7pt;z-index:251687936;mso-width-relative:page;mso-height-relative:page;" fillcolor="#9CBEE0" filled="t" stroked="t" coordsize="21600,21600">
            <v:path/>
            <v:fill type="gradient" on="t" color2="#BBD5F0" focussize="0f,0f">
              <o:fill type="gradientUnscaled" v:ext="backwardCompatible"/>
            </v:fill>
            <v:stroke weight="1.25pt" color="#739CC3" joinstyle="miter"/>
            <v:imagedata o:title=""/>
            <o:lock v:ext="edit"/>
            <v:textbox>
              <w:txbxContent>
                <w:p w14:paraId="200E410E">
                  <w:pPr>
                    <w:jc w:val="center"/>
                    <w:rPr>
                      <w:color w:val="000000"/>
                    </w:rPr>
                  </w:pPr>
                  <w:r>
                    <w:rPr>
                      <w:rFonts w:hint="eastAsia"/>
                      <w:color w:val="000000"/>
                    </w:rPr>
                    <w:t>检测室</w:t>
                  </w:r>
                </w:p>
              </w:txbxContent>
            </v:textbox>
          </v:shape>
        </w:pict>
      </w:r>
      <w:r>
        <w:rPr>
          <w:sz w:val="36"/>
        </w:rPr>
        <w:pict>
          <v:shape id="_x0000_s1079" o:spid="_x0000_s1079" o:spt="109" type="#_x0000_t109" style="position:absolute;left:0pt;margin-left:227.55pt;margin-top:12.75pt;height:23.05pt;width:62.75pt;z-index:251688960;mso-width-relative:page;mso-height-relative:page;" fillcolor="#9CBEE0" filled="t" stroked="t" coordsize="21600,21600">
            <v:path/>
            <v:fill type="gradient" on="t" color2="#BBD5F0" focussize="0f,0f">
              <o:fill type="gradientUnscaled" v:ext="backwardCompatible"/>
            </v:fill>
            <v:stroke weight="1.25pt" color="#739CC3" joinstyle="miter"/>
            <v:imagedata o:title=""/>
            <o:lock v:ext="edit"/>
            <v:textbox>
              <w:txbxContent>
                <w:p w14:paraId="08E1E64F">
                  <w:pPr>
                    <w:jc w:val="center"/>
                    <w:rPr>
                      <w:color w:val="000000"/>
                    </w:rPr>
                  </w:pPr>
                  <w:r>
                    <w:rPr>
                      <w:rFonts w:hint="eastAsia"/>
                      <w:color w:val="000000"/>
                    </w:rPr>
                    <w:t>挤塑车间</w:t>
                  </w:r>
                </w:p>
              </w:txbxContent>
            </v:textbox>
          </v:shape>
        </w:pict>
      </w:r>
      <w:r>
        <w:rPr>
          <w:sz w:val="36"/>
        </w:rPr>
        <w:pict>
          <v:shape id="_x0000_s1080" o:spid="_x0000_s1080" o:spt="109" type="#_x0000_t109" style="position:absolute;left:0pt;margin-left:142.45pt;margin-top:13.3pt;height:23.05pt;width:61.65pt;z-index:251684864;mso-width-relative:page;mso-height-relative:page;" fillcolor="#9CBEE0" filled="t" stroked="t" coordsize="21600,21600">
            <v:path/>
            <v:fill type="gradient" on="t" color2="#BBD5F0" focussize="0f,0f">
              <o:fill type="gradientUnscaled" v:ext="backwardCompatible"/>
            </v:fill>
            <v:stroke weight="1.25pt" color="#739CC3" joinstyle="miter"/>
            <v:imagedata o:title=""/>
            <o:lock v:ext="edit"/>
            <v:textbox>
              <w:txbxContent>
                <w:p w14:paraId="205B296F">
                  <w:pPr>
                    <w:jc w:val="center"/>
                  </w:pPr>
                  <w:r>
                    <w:rPr>
                      <w:rFonts w:hint="eastAsia"/>
                    </w:rPr>
                    <w:t>材料仓库</w:t>
                  </w:r>
                </w:p>
              </w:txbxContent>
            </v:textbox>
          </v:shape>
        </w:pict>
      </w:r>
      <w:r>
        <w:rPr>
          <w:sz w:val="36"/>
        </w:rPr>
        <w:pict>
          <v:shape id="_x0000_s1081" o:spid="_x0000_s1081" o:spt="109" type="#_x0000_t109" style="position:absolute;left:0pt;margin-left:57pt;margin-top:13.05pt;height:24.05pt;width:67.6pt;z-index:251682816;mso-width-relative:page;mso-height-relative:page;" fillcolor="#9CBEE0" filled="t" stroked="t" coordsize="21600,21600">
            <v:path/>
            <v:fill type="gradient" on="t" color2="#BBD5F0" focussize="0f,0f">
              <o:fill type="gradientUnscaled" v:ext="backwardCompatible"/>
            </v:fill>
            <v:stroke weight="1.25pt" color="#739CC3" joinstyle="miter"/>
            <v:imagedata o:title=""/>
            <o:lock v:ext="edit"/>
            <v:textbox>
              <w:txbxContent>
                <w:p w14:paraId="5D58B67D">
                  <w:pPr>
                    <w:jc w:val="center"/>
                  </w:pPr>
                  <w:r>
                    <w:rPr>
                      <w:rFonts w:hint="eastAsia"/>
                    </w:rPr>
                    <w:t>成品仓库</w:t>
                  </w:r>
                </w:p>
              </w:txbxContent>
            </v:textbox>
          </v:shape>
        </w:pict>
      </w:r>
    </w:p>
    <w:p w14:paraId="7A47BBF2">
      <w:pPr>
        <w:spacing w:line="0" w:lineRule="atLeast"/>
        <w:rPr>
          <w:rFonts w:ascii="黑体" w:hAnsi="宋体" w:eastAsia="黑体"/>
          <w:b/>
          <w:color w:val="000000"/>
          <w:sz w:val="36"/>
          <w:szCs w:val="36"/>
        </w:rPr>
      </w:pPr>
      <w:r>
        <w:rPr>
          <w:sz w:val="36"/>
        </w:rPr>
        <w:pict>
          <v:line id="_x0000_s1082" o:spid="_x0000_s1082" o:spt="20" style="position:absolute;left:0pt;flip:y;margin-left:259.2pt;margin-top:11.4pt;height:20pt;width:0.05pt;z-index:251666432;mso-width-relative:page;mso-height-relative:page;" filled="t" stroked="t" coordsize="21600,21600">
            <v:path arrowok="t"/>
            <v:fill on="t" focussize="0,0"/>
            <v:stroke weight="1.25pt" color="#739CC3"/>
            <v:imagedata o:title=""/>
            <o:lock v:ext="edit"/>
          </v:line>
        </w:pict>
      </w:r>
    </w:p>
    <w:p w14:paraId="1D378C0C">
      <w:pPr>
        <w:spacing w:line="0" w:lineRule="atLeast"/>
        <w:jc w:val="center"/>
        <w:rPr>
          <w:rFonts w:ascii="黑体" w:hAnsi="宋体" w:eastAsia="黑体"/>
          <w:b/>
          <w:color w:val="000000"/>
          <w:sz w:val="36"/>
          <w:szCs w:val="36"/>
        </w:rPr>
      </w:pPr>
      <w:r>
        <w:rPr>
          <w:sz w:val="36"/>
        </w:rPr>
        <w:pict>
          <v:shape id="_x0000_s1083" o:spid="_x0000_s1083" o:spt="109" type="#_x0000_t109" style="position:absolute;left:0pt;margin-left:229.5pt;margin-top:6.2pt;height:23.05pt;width:59.9pt;z-index:251691008;mso-width-relative:page;mso-height-relative:page;" fillcolor="#9CBEE0" filled="t" stroked="t" coordsize="21600,21600">
            <v:path/>
            <v:fill type="gradient" on="t" color2="#BBD5F0" focussize="0f,0f">
              <o:fill type="gradientUnscaled" v:ext="backwardCompatible"/>
            </v:fill>
            <v:stroke weight="1.25pt" color="#739CC3" joinstyle="miter"/>
            <v:imagedata o:title=""/>
            <o:lock v:ext="edit"/>
            <v:textbox>
              <w:txbxContent>
                <w:p w14:paraId="500FAF5E">
                  <w:pPr>
                    <w:jc w:val="center"/>
                    <w:rPr>
                      <w:color w:val="000000"/>
                    </w:rPr>
                  </w:pPr>
                  <w:r>
                    <w:rPr>
                      <w:rFonts w:hint="eastAsia"/>
                      <w:color w:val="000000"/>
                    </w:rPr>
                    <w:t>橡套车间</w:t>
                  </w:r>
                </w:p>
              </w:txbxContent>
            </v:textbox>
          </v:shape>
        </w:pict>
      </w:r>
    </w:p>
    <w:p w14:paraId="02E6DCBB">
      <w:pPr>
        <w:spacing w:line="0" w:lineRule="atLeast"/>
        <w:rPr>
          <w:rFonts w:ascii="黑体" w:hAnsi="宋体" w:eastAsia="黑体"/>
          <w:b/>
          <w:color w:val="000000"/>
          <w:sz w:val="36"/>
          <w:szCs w:val="36"/>
        </w:rPr>
      </w:pPr>
      <w:r>
        <w:rPr>
          <w:sz w:val="36"/>
        </w:rPr>
        <w:pict>
          <v:line id="_x0000_s1084" o:spid="_x0000_s1084" o:spt="20" style="position:absolute;left:0pt;flip:y;margin-left:258.8pt;margin-top:6.05pt;height:20pt;width:0.05pt;z-index:251665408;mso-width-relative:page;mso-height-relative:page;" filled="t" stroked="t" coordsize="21600,21600">
            <v:path arrowok="t"/>
            <v:fill on="t" focussize="0,0"/>
            <v:stroke weight="1.25pt" color="#739CC3"/>
            <v:imagedata o:title=""/>
            <o:lock v:ext="edit"/>
          </v:line>
        </w:pict>
      </w:r>
      <w:r>
        <w:rPr>
          <w:sz w:val="36"/>
        </w:rPr>
        <w:pict>
          <v:shape id="_x0000_s1085" o:spid="_x0000_s1085" o:spt="109" type="#_x0000_t109" style="position:absolute;left:0pt;margin-left:228.2pt;margin-top:22.45pt;height:23.05pt;width:61.7pt;z-index:251689984;mso-width-relative:page;mso-height-relative:page;" fillcolor="#9CBEE0" filled="t" stroked="t" coordsize="21600,21600">
            <v:path/>
            <v:fill type="gradient" on="t" color2="#BBD5F0" focussize="0f,0f">
              <o:fill type="gradientUnscaled" v:ext="backwardCompatible"/>
            </v:fill>
            <v:stroke weight="1.25pt" color="#739CC3" joinstyle="miter"/>
            <v:imagedata o:title=""/>
            <o:lock v:ext="edit"/>
            <v:textbox>
              <w:txbxContent>
                <w:p w14:paraId="4AFC0713">
                  <w:pPr>
                    <w:jc w:val="center"/>
                    <w:rPr>
                      <w:color w:val="000000"/>
                    </w:rPr>
                  </w:pPr>
                  <w:r>
                    <w:rPr>
                      <w:rFonts w:hint="eastAsia"/>
                      <w:color w:val="000000"/>
                    </w:rPr>
                    <w:t>成缆车间</w:t>
                  </w:r>
                </w:p>
              </w:txbxContent>
            </v:textbox>
          </v:shape>
        </w:pict>
      </w:r>
    </w:p>
    <w:p w14:paraId="32631263">
      <w:pPr>
        <w:spacing w:line="0" w:lineRule="atLeast"/>
        <w:rPr>
          <w:rFonts w:ascii="黑体" w:hAnsi="宋体" w:eastAsia="黑体"/>
          <w:b/>
          <w:color w:val="000000"/>
          <w:sz w:val="36"/>
          <w:szCs w:val="36"/>
        </w:rPr>
      </w:pPr>
      <w:r>
        <w:rPr>
          <w:sz w:val="36"/>
        </w:rPr>
        <w:pict>
          <v:line id="_x0000_s1086" o:spid="_x0000_s1086" o:spt="20" style="position:absolute;left:0pt;flip:y;margin-left:259pt;margin-top:18pt;height:20pt;width:0.05pt;z-index:251664384;mso-width-relative:page;mso-height-relative:page;" filled="t" stroked="t" coordsize="21600,21600">
            <v:path arrowok="t"/>
            <v:fill on="t" focussize="0,0"/>
            <v:stroke weight="1.25pt" color="#739CC3"/>
            <v:imagedata o:title=""/>
            <o:lock v:ext="edit"/>
          </v:line>
        </w:pict>
      </w:r>
    </w:p>
    <w:p w14:paraId="65B5B91A">
      <w:pPr>
        <w:spacing w:line="440" w:lineRule="atLeast"/>
        <w:rPr>
          <w:spacing w:val="8"/>
          <w:sz w:val="24"/>
        </w:rPr>
      </w:pPr>
      <w:r>
        <w:rPr>
          <w:sz w:val="36"/>
        </w:rPr>
        <w:pict>
          <v:shape id="_x0000_s1087" o:spid="_x0000_s1087" o:spt="109" type="#_x0000_t109" style="position:absolute;left:0pt;margin-left:221.7pt;margin-top:15.6pt;height:23.15pt;width:74.25pt;z-index:251694080;mso-width-relative:page;mso-height-relative:page;" fillcolor="#9CBEE0" filled="t" stroked="t" coordsize="21600,21600">
            <v:path/>
            <v:fill type="gradient" on="t" color2="#BBD5F0" focussize="0f,0f">
              <o:fill type="gradientUnscaled" v:ext="backwardCompatible"/>
            </v:fill>
            <v:stroke weight="1.25pt" color="#739CC3" joinstyle="miter"/>
            <v:imagedata o:title=""/>
            <o:lock v:ext="edit"/>
            <v:textbox>
              <w:txbxContent>
                <w:p w14:paraId="7F6BF8F6">
                  <w:pPr>
                    <w:jc w:val="center"/>
                  </w:pPr>
                  <w:r>
                    <w:rPr>
                      <w:rFonts w:hint="eastAsia"/>
                    </w:rPr>
                    <w:t>设备动力科</w:t>
                  </w:r>
                </w:p>
              </w:txbxContent>
            </v:textbox>
          </v:shape>
        </w:pict>
      </w:r>
    </w:p>
    <w:p w14:paraId="3CC8F6F3">
      <w:pPr>
        <w:widowControl/>
        <w:spacing w:line="288" w:lineRule="auto"/>
        <w:rPr>
          <w:rFonts w:ascii="宋体" w:hAnsi="宋体"/>
          <w:b/>
          <w:bCs/>
          <w:szCs w:val="21"/>
        </w:rPr>
      </w:pPr>
    </w:p>
    <w:p w14:paraId="3A032993">
      <w:pPr>
        <w:rPr>
          <w:color w:val="000000"/>
        </w:rPr>
      </w:pPr>
    </w:p>
    <w:p w14:paraId="2B8C9F2E">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公司同时设立了管理者代表，</w:t>
      </w:r>
      <w:r>
        <w:rPr>
          <w:rFonts w:ascii="宋体" w:hAnsi="宋体"/>
          <w:szCs w:val="21"/>
        </w:rPr>
        <w:t>经公司</w:t>
      </w:r>
      <w:r>
        <w:rPr>
          <w:rFonts w:hint="eastAsia" w:ascii="宋体" w:hAnsi="宋体"/>
          <w:szCs w:val="21"/>
        </w:rPr>
        <w:t>总经理</w:t>
      </w:r>
      <w:r>
        <w:rPr>
          <w:rFonts w:ascii="宋体" w:hAnsi="宋体"/>
          <w:szCs w:val="21"/>
        </w:rPr>
        <w:t>任命、并授权其在质量管理体系方面指挥和控制系统。负责推动公司质量方针、目标、战略的具体实施、评价和改进。</w:t>
      </w:r>
      <w:r>
        <w:rPr>
          <w:rFonts w:hint="eastAsia" w:cs="仿宋_GB2312" w:asciiTheme="minorEastAsia" w:hAnsiTheme="minorEastAsia" w:eastAsiaTheme="minorEastAsia"/>
          <w:color w:val="000000" w:themeColor="text1"/>
          <w:szCs w:val="21"/>
        </w:rPr>
        <w:t>履行如下的职责：</w:t>
      </w:r>
    </w:p>
    <w:p w14:paraId="4A9B841C">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1）参与品质战略的制订、评审确定品质战略；</w:t>
      </w:r>
    </w:p>
    <w:p w14:paraId="2FF8F23D">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2)</w:t>
      </w:r>
      <w:r>
        <w:rPr>
          <w:rFonts w:hint="eastAsia" w:ascii="宋体" w:hAnsi="宋体" w:cs="宋体"/>
          <w:color w:val="000000"/>
          <w:kern w:val="0"/>
          <w:szCs w:val="21"/>
        </w:rPr>
        <w:t xml:space="preserve">负责按照ISO </w:t>
      </w:r>
      <w:r>
        <w:rPr>
          <w:rFonts w:ascii="宋体" w:hAnsi="宋体" w:cs="宋体"/>
          <w:color w:val="000000"/>
          <w:kern w:val="0"/>
          <w:szCs w:val="21"/>
        </w:rPr>
        <w:t>9001</w:t>
      </w:r>
      <w:r>
        <w:rPr>
          <w:rFonts w:hint="eastAsia" w:ascii="宋体" w:hAnsi="宋体" w:cs="宋体"/>
          <w:color w:val="000000"/>
          <w:kern w:val="0"/>
          <w:szCs w:val="21"/>
        </w:rPr>
        <w:t>：</w:t>
      </w:r>
      <w:r>
        <w:rPr>
          <w:rFonts w:ascii="宋体" w:hAnsi="宋体" w:cs="宋体"/>
          <w:color w:val="000000"/>
          <w:kern w:val="0"/>
          <w:szCs w:val="21"/>
        </w:rPr>
        <w:t>20</w:t>
      </w:r>
      <w:r>
        <w:rPr>
          <w:rFonts w:hint="eastAsia" w:ascii="宋体" w:hAnsi="宋体" w:cs="宋体"/>
          <w:color w:val="000000"/>
          <w:kern w:val="0"/>
          <w:szCs w:val="21"/>
        </w:rPr>
        <w:t>15</w:t>
      </w:r>
      <w:r>
        <w:rPr>
          <w:rFonts w:ascii="宋体" w:hAnsi="宋体" w:cs="宋体"/>
          <w:color w:val="000000"/>
          <w:kern w:val="0"/>
          <w:szCs w:val="21"/>
        </w:rPr>
        <w:t xml:space="preserve"> </w:t>
      </w:r>
      <w:r>
        <w:rPr>
          <w:rFonts w:hint="eastAsia" w:ascii="宋体" w:hAnsi="宋体" w:cs="宋体"/>
          <w:color w:val="000000"/>
          <w:kern w:val="0"/>
          <w:szCs w:val="21"/>
        </w:rPr>
        <w:t>、ISO 1</w:t>
      </w:r>
      <w:r>
        <w:rPr>
          <w:rFonts w:ascii="宋体" w:hAnsi="宋体" w:cs="宋体"/>
          <w:color w:val="000000"/>
          <w:kern w:val="0"/>
          <w:szCs w:val="21"/>
        </w:rPr>
        <w:t>4001</w:t>
      </w:r>
      <w:r>
        <w:rPr>
          <w:rFonts w:hint="eastAsia" w:ascii="宋体" w:hAnsi="宋体" w:cs="宋体"/>
          <w:color w:val="000000"/>
          <w:kern w:val="0"/>
          <w:szCs w:val="21"/>
        </w:rPr>
        <w:t>：</w:t>
      </w:r>
      <w:r>
        <w:rPr>
          <w:rFonts w:ascii="宋体" w:hAnsi="宋体" w:cs="宋体"/>
          <w:color w:val="000000"/>
          <w:kern w:val="0"/>
          <w:szCs w:val="21"/>
        </w:rPr>
        <w:t>20</w:t>
      </w:r>
      <w:r>
        <w:rPr>
          <w:rFonts w:hint="eastAsia" w:ascii="宋体" w:hAnsi="宋体" w:cs="宋体"/>
          <w:color w:val="000000"/>
          <w:kern w:val="0"/>
          <w:szCs w:val="21"/>
        </w:rPr>
        <w:t>15及</w:t>
      </w:r>
      <w:r>
        <w:rPr>
          <w:rFonts w:ascii="宋体" w:hAnsi="宋体" w:cs="宋体"/>
          <w:color w:val="000000"/>
          <w:kern w:val="0"/>
          <w:szCs w:val="21"/>
        </w:rPr>
        <w:t>GB/T</w:t>
      </w:r>
      <w:r>
        <w:rPr>
          <w:rFonts w:hint="eastAsia" w:ascii="宋体" w:hAnsi="宋体" w:cs="宋体"/>
          <w:color w:val="000000"/>
          <w:kern w:val="0"/>
          <w:szCs w:val="21"/>
        </w:rPr>
        <w:t xml:space="preserve"> 45001标准的要求建立、实施和保持适合公司实际情况的质量</w:t>
      </w:r>
      <w:r>
        <w:rPr>
          <w:rFonts w:ascii="宋体" w:hAnsi="宋体" w:cs="宋体"/>
          <w:color w:val="000000"/>
          <w:kern w:val="0"/>
          <w:szCs w:val="21"/>
        </w:rPr>
        <w:t>/</w:t>
      </w:r>
      <w:r>
        <w:rPr>
          <w:rFonts w:hint="eastAsia" w:ascii="宋体" w:hAnsi="宋体" w:cs="宋体"/>
          <w:color w:val="000000"/>
          <w:kern w:val="0"/>
          <w:szCs w:val="21"/>
        </w:rPr>
        <w:t>环境</w:t>
      </w:r>
      <w:r>
        <w:rPr>
          <w:rFonts w:ascii="宋体" w:hAnsi="宋体" w:cs="宋体"/>
          <w:color w:val="000000"/>
          <w:kern w:val="0"/>
          <w:szCs w:val="21"/>
        </w:rPr>
        <w:t>/</w:t>
      </w:r>
      <w:r>
        <w:rPr>
          <w:rFonts w:hint="eastAsia" w:ascii="宋体" w:hAnsi="宋体" w:cs="宋体"/>
          <w:color w:val="000000"/>
          <w:kern w:val="0"/>
          <w:szCs w:val="21"/>
        </w:rPr>
        <w:t>职业健康安全管理体系，并使之持续有效运行</w:t>
      </w:r>
      <w:r>
        <w:rPr>
          <w:rFonts w:hint="eastAsia" w:cs="仿宋_GB2312" w:asciiTheme="minorEastAsia" w:hAnsiTheme="minorEastAsia" w:eastAsiaTheme="minorEastAsia"/>
          <w:color w:val="000000" w:themeColor="text1"/>
          <w:szCs w:val="21"/>
        </w:rPr>
        <w:t>；</w:t>
      </w:r>
    </w:p>
    <w:p w14:paraId="4D99694E">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3)</w:t>
      </w:r>
      <w:r>
        <w:rPr>
          <w:rFonts w:hint="eastAsia" w:ascii="宋体" w:hAnsi="宋体" w:cs="宋体"/>
          <w:color w:val="000000"/>
          <w:kern w:val="0"/>
          <w:szCs w:val="21"/>
        </w:rPr>
        <w:t>负责组织制定公司年度质量目标</w:t>
      </w:r>
      <w:r>
        <w:rPr>
          <w:rFonts w:ascii="宋体" w:hAnsi="宋体" w:cs="宋体"/>
          <w:color w:val="000000"/>
          <w:kern w:val="0"/>
          <w:szCs w:val="21"/>
        </w:rPr>
        <w:t>/</w:t>
      </w:r>
      <w:r>
        <w:rPr>
          <w:rFonts w:hint="eastAsia" w:ascii="宋体" w:hAnsi="宋体" w:cs="宋体"/>
          <w:color w:val="000000"/>
          <w:kern w:val="0"/>
          <w:szCs w:val="21"/>
        </w:rPr>
        <w:t>环境</w:t>
      </w:r>
      <w:r>
        <w:rPr>
          <w:rFonts w:ascii="宋体" w:hAnsi="宋体" w:cs="宋体"/>
          <w:color w:val="000000"/>
          <w:kern w:val="0"/>
          <w:szCs w:val="21"/>
        </w:rPr>
        <w:t>/</w:t>
      </w:r>
      <w:r>
        <w:rPr>
          <w:rFonts w:hint="eastAsia" w:ascii="宋体" w:hAnsi="宋体" w:cs="宋体"/>
          <w:color w:val="000000"/>
          <w:kern w:val="0"/>
          <w:szCs w:val="21"/>
        </w:rPr>
        <w:t>职业健康安全目标与指标，确保提高对满足“相关方要求”的意识形成，并考核各部门年度目标与指标完成情况</w:t>
      </w:r>
      <w:r>
        <w:rPr>
          <w:rFonts w:hint="eastAsia" w:cs="仿宋_GB2312" w:asciiTheme="minorEastAsia" w:hAnsiTheme="minorEastAsia" w:eastAsiaTheme="minorEastAsia"/>
          <w:color w:val="000000" w:themeColor="text1"/>
          <w:szCs w:val="21"/>
        </w:rPr>
        <w:t>；</w:t>
      </w:r>
    </w:p>
    <w:p w14:paraId="192A52A1">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4)</w:t>
      </w:r>
      <w:r>
        <w:rPr>
          <w:rFonts w:hint="eastAsia" w:ascii="宋体" w:hAnsi="宋体" w:cs="宋体"/>
          <w:color w:val="000000"/>
          <w:kern w:val="0"/>
          <w:szCs w:val="21"/>
        </w:rPr>
        <w:t>负责向总经理报告质量</w:t>
      </w:r>
      <w:r>
        <w:rPr>
          <w:rFonts w:ascii="宋体" w:hAnsi="宋体" w:cs="宋体"/>
          <w:color w:val="000000"/>
          <w:kern w:val="0"/>
          <w:szCs w:val="21"/>
        </w:rPr>
        <w:t>/</w:t>
      </w:r>
      <w:r>
        <w:rPr>
          <w:rFonts w:hint="eastAsia" w:ascii="宋体" w:hAnsi="宋体" w:cs="宋体"/>
          <w:color w:val="000000"/>
          <w:kern w:val="0"/>
          <w:szCs w:val="21"/>
        </w:rPr>
        <w:t>环境</w:t>
      </w:r>
      <w:r>
        <w:rPr>
          <w:rFonts w:ascii="宋体" w:hAnsi="宋体" w:cs="宋体"/>
          <w:color w:val="000000"/>
          <w:kern w:val="0"/>
          <w:szCs w:val="21"/>
        </w:rPr>
        <w:t>/</w:t>
      </w:r>
      <w:r>
        <w:rPr>
          <w:rFonts w:hint="eastAsia" w:ascii="宋体" w:hAnsi="宋体" w:cs="宋体"/>
          <w:color w:val="000000"/>
          <w:kern w:val="0"/>
          <w:szCs w:val="21"/>
        </w:rPr>
        <w:t>职业健康安全管理体系的业绩和改进的需求</w:t>
      </w:r>
      <w:r>
        <w:rPr>
          <w:rFonts w:hint="eastAsia" w:cs="仿宋_GB2312" w:asciiTheme="minorEastAsia" w:hAnsiTheme="minorEastAsia" w:eastAsiaTheme="minorEastAsia"/>
          <w:color w:val="000000" w:themeColor="text1"/>
          <w:szCs w:val="21"/>
        </w:rPr>
        <w:t>；</w:t>
      </w:r>
    </w:p>
    <w:p w14:paraId="4A5F55CE">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4）</w:t>
      </w:r>
      <w:r>
        <w:rPr>
          <w:rFonts w:hint="eastAsia" w:ascii="宋体" w:hAnsi="宋体" w:cs="宋体"/>
          <w:color w:val="000000"/>
          <w:kern w:val="0"/>
          <w:szCs w:val="21"/>
        </w:rPr>
        <w:t>确保在全公司内提高满足顾客要求和法律法规的意识</w:t>
      </w:r>
      <w:r>
        <w:rPr>
          <w:rFonts w:hint="eastAsia" w:cs="仿宋_GB2312" w:asciiTheme="minorEastAsia" w:hAnsiTheme="minorEastAsia" w:eastAsiaTheme="minorEastAsia"/>
          <w:color w:val="000000" w:themeColor="text1"/>
          <w:szCs w:val="21"/>
        </w:rPr>
        <w:t>；</w:t>
      </w:r>
    </w:p>
    <w:p w14:paraId="32C2C330">
      <w:pPr>
        <w:spacing w:line="312" w:lineRule="auto"/>
        <w:ind w:firstLine="420" w:firstLineChars="200"/>
        <w:rPr>
          <w:rFonts w:cs="仿宋_GB2312" w:asciiTheme="minorEastAsia" w:hAnsiTheme="minorEastAsia"/>
          <w:color w:val="000000" w:themeColor="text1"/>
          <w:szCs w:val="21"/>
        </w:rPr>
      </w:pPr>
      <w:r>
        <w:rPr>
          <w:rFonts w:hint="eastAsia" w:cs="仿宋_GB2312" w:asciiTheme="minorEastAsia" w:hAnsiTheme="minorEastAsia" w:eastAsiaTheme="minorEastAsia"/>
          <w:color w:val="000000" w:themeColor="text1"/>
          <w:szCs w:val="21"/>
        </w:rPr>
        <w:t>5）</w:t>
      </w:r>
      <w:r>
        <w:rPr>
          <w:rFonts w:hint="eastAsia" w:ascii="宋体" w:hAnsi="宋体" w:cs="宋体"/>
          <w:color w:val="000000"/>
          <w:kern w:val="0"/>
          <w:szCs w:val="21"/>
        </w:rPr>
        <w:t>代表公司就质量</w:t>
      </w:r>
      <w:r>
        <w:rPr>
          <w:rFonts w:ascii="宋体" w:hAnsi="宋体" w:cs="宋体"/>
          <w:color w:val="000000"/>
          <w:kern w:val="0"/>
          <w:szCs w:val="21"/>
        </w:rPr>
        <w:t>/</w:t>
      </w:r>
      <w:r>
        <w:rPr>
          <w:rFonts w:hint="eastAsia" w:ascii="宋体" w:hAnsi="宋体" w:cs="宋体"/>
          <w:color w:val="000000"/>
          <w:kern w:val="0"/>
          <w:szCs w:val="21"/>
        </w:rPr>
        <w:t>环境</w:t>
      </w:r>
      <w:r>
        <w:rPr>
          <w:rFonts w:ascii="宋体" w:hAnsi="宋体" w:cs="宋体"/>
          <w:color w:val="000000"/>
          <w:kern w:val="0"/>
          <w:szCs w:val="21"/>
        </w:rPr>
        <w:t>/</w:t>
      </w:r>
      <w:r>
        <w:rPr>
          <w:rFonts w:hint="eastAsia" w:ascii="宋体" w:hAnsi="宋体" w:cs="宋体"/>
          <w:color w:val="000000"/>
          <w:kern w:val="0"/>
          <w:szCs w:val="21"/>
        </w:rPr>
        <w:t>职业健康安全管理体系有关事宜与外部各方联络</w:t>
      </w:r>
      <w:r>
        <w:rPr>
          <w:rFonts w:hint="eastAsia" w:cs="仿宋_GB2312" w:asciiTheme="minorEastAsia" w:hAnsiTheme="minorEastAsia" w:eastAsiaTheme="minorEastAsia"/>
          <w:color w:val="000000" w:themeColor="text1"/>
          <w:szCs w:val="21"/>
        </w:rPr>
        <w:t>。</w:t>
      </w:r>
    </w:p>
    <w:p w14:paraId="5CBED41D">
      <w:pPr>
        <w:spacing w:line="312" w:lineRule="auto"/>
        <w:ind w:right="280" w:firstLine="422" w:firstLineChars="200"/>
        <w:rPr>
          <w:rFonts w:ascii="宋体" w:hAnsi="宋体" w:cs="宋体"/>
          <w:kern w:val="0"/>
          <w:szCs w:val="21"/>
        </w:rPr>
      </w:pPr>
      <w:r>
        <w:rPr>
          <w:rFonts w:hint="eastAsia" w:ascii="宋体" w:hAnsi="宋体"/>
          <w:b/>
          <w:szCs w:val="21"/>
        </w:rPr>
        <w:t>3、品质部部门职责：</w:t>
      </w:r>
    </w:p>
    <w:p w14:paraId="29A3A287">
      <w:pPr>
        <w:numPr>
          <w:ilvl w:val="0"/>
          <w:numId w:val="3"/>
        </w:numPr>
        <w:tabs>
          <w:tab w:val="left" w:pos="840"/>
        </w:tabs>
        <w:spacing w:line="390" w:lineRule="exact"/>
        <w:ind w:hanging="5"/>
        <w:rPr>
          <w:spacing w:val="-6"/>
        </w:rPr>
      </w:pPr>
      <w:r>
        <w:rPr>
          <w:rFonts w:hint="eastAsia"/>
          <w:spacing w:val="-6"/>
        </w:rPr>
        <w:t>负责公司日常质量管理和产品检验工作，协助管理者代表建立、健全和改进公司的质量/环境/职业/健康安全/测量管理体系；</w:t>
      </w:r>
    </w:p>
    <w:p w14:paraId="286882DA">
      <w:pPr>
        <w:numPr>
          <w:ilvl w:val="0"/>
          <w:numId w:val="3"/>
        </w:numPr>
        <w:tabs>
          <w:tab w:val="left" w:pos="840"/>
        </w:tabs>
        <w:spacing w:line="390" w:lineRule="exact"/>
        <w:ind w:hanging="5"/>
      </w:pPr>
      <w:r>
        <w:rPr>
          <w:rFonts w:hint="eastAsia"/>
        </w:rPr>
        <w:t xml:space="preserve">负责年度内审方案的制定，经批准后实施；   </w:t>
      </w:r>
    </w:p>
    <w:p w14:paraId="0C4A303F">
      <w:pPr>
        <w:numPr>
          <w:ilvl w:val="0"/>
          <w:numId w:val="3"/>
        </w:numPr>
        <w:tabs>
          <w:tab w:val="left" w:pos="840"/>
        </w:tabs>
        <w:spacing w:line="390" w:lineRule="exact"/>
        <w:ind w:hanging="5"/>
      </w:pPr>
      <w:r>
        <w:rPr>
          <w:rFonts w:hint="eastAsia"/>
        </w:rPr>
        <w:t>负责及时处理质量</w:t>
      </w:r>
      <w:r>
        <w:rPr>
          <w:rFonts w:hint="eastAsia"/>
          <w:spacing w:val="-6"/>
        </w:rPr>
        <w:t>/环境/职业健康安全管理/测量管理</w:t>
      </w:r>
      <w:r>
        <w:rPr>
          <w:rFonts w:hint="eastAsia"/>
        </w:rPr>
        <w:t>体系运行过程中的问题，以确保管理体系的正常、有效运行和持续改进；</w:t>
      </w:r>
    </w:p>
    <w:p w14:paraId="55804035">
      <w:pPr>
        <w:numPr>
          <w:ilvl w:val="0"/>
          <w:numId w:val="3"/>
        </w:numPr>
        <w:tabs>
          <w:tab w:val="left" w:pos="840"/>
        </w:tabs>
        <w:spacing w:line="390" w:lineRule="exact"/>
        <w:ind w:hanging="5"/>
      </w:pPr>
      <w:r>
        <w:rPr>
          <w:rFonts w:hint="eastAsia"/>
        </w:rPr>
        <w:t>负责监督检查公司质量</w:t>
      </w:r>
      <w:r>
        <w:rPr>
          <w:rFonts w:hint="eastAsia"/>
          <w:spacing w:val="-6"/>
        </w:rPr>
        <w:t>/环境/职业健康安全</w:t>
      </w:r>
      <w:r>
        <w:rPr>
          <w:rFonts w:hint="eastAsia"/>
        </w:rPr>
        <w:t>管理</w:t>
      </w:r>
      <w:r>
        <w:rPr>
          <w:rFonts w:hint="eastAsia"/>
          <w:spacing w:val="-6"/>
        </w:rPr>
        <w:t>/测量管理</w:t>
      </w:r>
      <w:r>
        <w:rPr>
          <w:rFonts w:hint="eastAsia"/>
        </w:rPr>
        <w:t>体系文件的执行情况，并对管理体系文件实施的有效性负责；</w:t>
      </w:r>
    </w:p>
    <w:p w14:paraId="52F52289">
      <w:pPr>
        <w:numPr>
          <w:ilvl w:val="0"/>
          <w:numId w:val="3"/>
        </w:numPr>
        <w:tabs>
          <w:tab w:val="left" w:pos="840"/>
        </w:tabs>
        <w:spacing w:line="390" w:lineRule="exact"/>
        <w:ind w:hanging="5"/>
      </w:pPr>
      <w:r>
        <w:rPr>
          <w:rFonts w:hint="eastAsia"/>
        </w:rPr>
        <w:t>负责组织计量设备的建档、周期检定、维修、送检等管理工作；</w:t>
      </w:r>
    </w:p>
    <w:p w14:paraId="65CEE295">
      <w:pPr>
        <w:numPr>
          <w:ilvl w:val="0"/>
          <w:numId w:val="3"/>
        </w:numPr>
        <w:tabs>
          <w:tab w:val="left" w:pos="840"/>
        </w:tabs>
        <w:spacing w:line="390" w:lineRule="exact"/>
        <w:ind w:hanging="5"/>
      </w:pPr>
      <w:r>
        <w:rPr>
          <w:rFonts w:hint="eastAsia"/>
        </w:rPr>
        <w:t xml:space="preserve">负责公司内部及外部质量信息的收集并处理，视情况采取纠正和预防措施； </w:t>
      </w:r>
    </w:p>
    <w:p w14:paraId="4CD91673">
      <w:pPr>
        <w:numPr>
          <w:ilvl w:val="0"/>
          <w:numId w:val="3"/>
        </w:numPr>
        <w:tabs>
          <w:tab w:val="left" w:pos="840"/>
        </w:tabs>
        <w:spacing w:line="390" w:lineRule="exact"/>
        <w:ind w:hanging="5"/>
      </w:pPr>
      <w:r>
        <w:rPr>
          <w:rFonts w:hint="eastAsia"/>
        </w:rPr>
        <w:t>负责对产品质量进行统计分析，负责组织质量指标的统计、审核、考核等工作；</w:t>
      </w:r>
    </w:p>
    <w:p w14:paraId="67F3B683">
      <w:pPr>
        <w:numPr>
          <w:ilvl w:val="0"/>
          <w:numId w:val="3"/>
        </w:numPr>
        <w:tabs>
          <w:tab w:val="left" w:pos="840"/>
        </w:tabs>
        <w:spacing w:line="390" w:lineRule="exact"/>
        <w:ind w:hanging="5"/>
      </w:pPr>
      <w:r>
        <w:rPr>
          <w:rFonts w:hint="eastAsia"/>
        </w:rPr>
        <w:t>负责管理评审计划的制定，协助总裁完成管理评审；</w:t>
      </w:r>
    </w:p>
    <w:p w14:paraId="61CEDE9F">
      <w:pPr>
        <w:numPr>
          <w:ilvl w:val="0"/>
          <w:numId w:val="3"/>
        </w:numPr>
        <w:tabs>
          <w:tab w:val="left" w:pos="840"/>
        </w:tabs>
        <w:spacing w:line="390" w:lineRule="exact"/>
        <w:ind w:hanging="5"/>
      </w:pPr>
      <w:r>
        <w:rPr>
          <w:rFonts w:hint="eastAsia"/>
        </w:rPr>
        <w:t>负责质量记录归档管理；</w:t>
      </w:r>
    </w:p>
    <w:p w14:paraId="707A13B5">
      <w:pPr>
        <w:numPr>
          <w:ilvl w:val="0"/>
          <w:numId w:val="3"/>
        </w:numPr>
        <w:tabs>
          <w:tab w:val="left" w:pos="840"/>
        </w:tabs>
        <w:spacing w:line="390" w:lineRule="exact"/>
        <w:ind w:hanging="5"/>
      </w:pPr>
      <w:r>
        <w:rPr>
          <w:rFonts w:hint="eastAsia"/>
        </w:rPr>
        <w:t>负责组织质量事故的分析、处理工作、提出质量奖惩意见，按月上报质量月报表；</w:t>
      </w:r>
    </w:p>
    <w:p w14:paraId="6E1517DE">
      <w:pPr>
        <w:numPr>
          <w:ilvl w:val="0"/>
          <w:numId w:val="3"/>
        </w:numPr>
        <w:tabs>
          <w:tab w:val="left" w:pos="840"/>
        </w:tabs>
        <w:spacing w:line="390" w:lineRule="exact"/>
        <w:ind w:hanging="5"/>
      </w:pPr>
      <w:r>
        <w:rPr>
          <w:rFonts w:hint="eastAsia"/>
        </w:rPr>
        <w:t>根据质量波动情况，不定期召开质量分析会；</w:t>
      </w:r>
    </w:p>
    <w:p w14:paraId="0B83BBEC">
      <w:pPr>
        <w:numPr>
          <w:ilvl w:val="0"/>
          <w:numId w:val="3"/>
        </w:numPr>
        <w:tabs>
          <w:tab w:val="left" w:pos="840"/>
        </w:tabs>
        <w:spacing w:line="390" w:lineRule="exact"/>
        <w:ind w:hanging="5"/>
      </w:pPr>
      <w:r>
        <w:rPr>
          <w:rFonts w:hint="eastAsia"/>
        </w:rPr>
        <w:t>负责对不合格品进行评审处置及重大质量事故进行处理；</w:t>
      </w:r>
    </w:p>
    <w:p w14:paraId="06BACE1B">
      <w:pPr>
        <w:numPr>
          <w:ilvl w:val="0"/>
          <w:numId w:val="3"/>
        </w:numPr>
        <w:tabs>
          <w:tab w:val="left" w:pos="840"/>
        </w:tabs>
        <w:spacing w:line="390" w:lineRule="exact"/>
        <w:ind w:hanging="5"/>
      </w:pPr>
      <w:r>
        <w:rPr>
          <w:rFonts w:hint="eastAsia"/>
        </w:rPr>
        <w:t>对电线电缆主要原材料的生产单位进行调查并参与合格供方评定；</w:t>
      </w:r>
    </w:p>
    <w:p w14:paraId="4843A840">
      <w:pPr>
        <w:numPr>
          <w:ilvl w:val="0"/>
          <w:numId w:val="3"/>
        </w:numPr>
        <w:tabs>
          <w:tab w:val="left" w:pos="840"/>
        </w:tabs>
        <w:spacing w:line="390" w:lineRule="exact"/>
        <w:ind w:hanging="5"/>
      </w:pPr>
      <w:r>
        <w:rPr>
          <w:rFonts w:hint="eastAsia"/>
        </w:rPr>
        <w:t>负责公司</w:t>
      </w:r>
      <w:r>
        <w:rPr>
          <w:rFonts w:hint="eastAsia"/>
          <w:spacing w:val="-6"/>
        </w:rPr>
        <w:t>质量/环境/职业/健康安全/测量管理体系运行过程中异常信息的收集和处理；</w:t>
      </w:r>
    </w:p>
    <w:p w14:paraId="1A8D72DD">
      <w:pPr>
        <w:numPr>
          <w:ilvl w:val="0"/>
          <w:numId w:val="3"/>
        </w:numPr>
        <w:tabs>
          <w:tab w:val="left" w:pos="840"/>
        </w:tabs>
        <w:spacing w:line="390" w:lineRule="exact"/>
        <w:ind w:hanging="5"/>
      </w:pPr>
      <w:r>
        <w:rPr>
          <w:rFonts w:hint="eastAsia"/>
        </w:rPr>
        <w:t>对入公司新员工进行质量管理基础知识、电线电缆基础知识培训；对执行、验证人员进行上岗应知培训；</w:t>
      </w:r>
    </w:p>
    <w:p w14:paraId="5D43B946">
      <w:pPr>
        <w:numPr>
          <w:ilvl w:val="0"/>
          <w:numId w:val="3"/>
        </w:numPr>
        <w:tabs>
          <w:tab w:val="left" w:pos="840"/>
        </w:tabs>
        <w:spacing w:line="390" w:lineRule="exact"/>
        <w:ind w:hanging="5"/>
      </w:pPr>
      <w:r>
        <w:rPr>
          <w:rFonts w:hint="eastAsia"/>
        </w:rPr>
        <w:t>对检验员、计量管理员、质量管理员进行业务培训；</w:t>
      </w:r>
    </w:p>
    <w:p w14:paraId="2641C658">
      <w:pPr>
        <w:numPr>
          <w:ilvl w:val="0"/>
          <w:numId w:val="3"/>
        </w:numPr>
        <w:tabs>
          <w:tab w:val="left" w:pos="840"/>
        </w:tabs>
        <w:spacing w:line="390" w:lineRule="exact"/>
        <w:ind w:hanging="5"/>
      </w:pPr>
      <w:r>
        <w:rPr>
          <w:rFonts w:hint="eastAsia"/>
        </w:rPr>
        <w:t>检验员、计量管理员及质量管理员的工作质量进行监督并考核；</w:t>
      </w:r>
    </w:p>
    <w:p w14:paraId="1AFBEE6B">
      <w:pPr>
        <w:spacing w:line="360" w:lineRule="auto"/>
        <w:ind w:firstLine="482" w:firstLineChars="200"/>
        <w:outlineLvl w:val="1"/>
        <w:rPr>
          <w:rFonts w:cs="仿宋_GB2312" w:asciiTheme="minorEastAsia" w:hAnsiTheme="minorEastAsia" w:eastAsiaTheme="minorEastAsia"/>
          <w:b/>
          <w:color w:val="000000" w:themeColor="text1"/>
          <w:sz w:val="24"/>
        </w:rPr>
      </w:pPr>
      <w:bookmarkStart w:id="15" w:name="_Toc29349"/>
      <w:r>
        <w:rPr>
          <w:rFonts w:hint="eastAsia" w:cs="仿宋_GB2312" w:asciiTheme="minorEastAsia" w:hAnsiTheme="minorEastAsia" w:eastAsiaTheme="minorEastAsia"/>
          <w:b/>
          <w:color w:val="000000" w:themeColor="text1"/>
          <w:sz w:val="24"/>
        </w:rPr>
        <w:t>（二）质量管理体系</w:t>
      </w:r>
      <w:bookmarkEnd w:id="15"/>
    </w:p>
    <w:p w14:paraId="6EE275BF">
      <w:pPr>
        <w:spacing w:line="312" w:lineRule="auto"/>
        <w:ind w:firstLine="422" w:firstLineChars="200"/>
        <w:rPr>
          <w:rFonts w:cs="仿宋_GB2312" w:asciiTheme="minorEastAsia" w:hAnsiTheme="minorEastAsia" w:eastAsiaTheme="minorEastAsia"/>
          <w:b/>
          <w:bCs/>
          <w:color w:val="000000" w:themeColor="text1"/>
          <w:szCs w:val="21"/>
        </w:rPr>
      </w:pPr>
      <w:r>
        <w:rPr>
          <w:rFonts w:hint="eastAsia" w:cs="仿宋_GB2312" w:asciiTheme="minorEastAsia" w:hAnsiTheme="minorEastAsia" w:eastAsiaTheme="minorEastAsia"/>
          <w:b/>
          <w:bCs/>
          <w:color w:val="000000" w:themeColor="text1"/>
          <w:szCs w:val="21"/>
        </w:rPr>
        <w:t>1、质量方针与目标</w:t>
      </w:r>
    </w:p>
    <w:p w14:paraId="74929D56">
      <w:pPr>
        <w:spacing w:line="312" w:lineRule="auto"/>
        <w:ind w:firstLine="420" w:firstLineChars="200"/>
        <w:rPr>
          <w:rFonts w:asciiTheme="minorEastAsia" w:hAnsiTheme="minorEastAsia" w:eastAsiaTheme="minorEastAsia"/>
          <w:color w:val="000000"/>
          <w:spacing w:val="-2"/>
          <w:szCs w:val="21"/>
        </w:rPr>
      </w:pPr>
      <w:r>
        <w:rPr>
          <w:rFonts w:hint="eastAsia" w:cs="仿宋_GB2312" w:asciiTheme="minorEastAsia" w:hAnsiTheme="minorEastAsia" w:eastAsiaTheme="minorEastAsia"/>
          <w:color w:val="000000" w:themeColor="text1"/>
          <w:szCs w:val="21"/>
        </w:rPr>
        <w:t>公司建立并实施质量管理体系，制定了“恪守质量第一，追求管理创新”的质量方针；并以：“1）合同履约率100%；2）顾客满意率≥95%”的质量目标。为持续改善公司质量管理体系，公司每年均制定内审计划，实施质量管理体系内部审核。通过内部审核，寻找改善的机会。同时，公司也会充分利用二方审核、三方审核的机会，改进质量管理体系的有效性。</w:t>
      </w:r>
    </w:p>
    <w:p w14:paraId="5269372C">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导入卓越绩效管理模式，推行全面质量管理，使公司质量管理体系从持续改进，向追求卓越看齐，建立了以公司战略为核心，以GB/T19580卓越绩效模式为框架的整合型全面质量管理体系。满足顾客、员工、供应商、社会和合作伙伴五大利益相关方的要求，在公司各层次建立了相应的战略规划、质量目标。以公司绩效考核体系为依托，设立了质量考核目标和质量问责制。</w:t>
      </w:r>
    </w:p>
    <w:p w14:paraId="48B4A1B0">
      <w:pPr>
        <w:spacing w:line="312" w:lineRule="auto"/>
        <w:ind w:firstLine="422" w:firstLineChars="200"/>
        <w:rPr>
          <w:rFonts w:cs="仿宋_GB2312" w:asciiTheme="minorEastAsia" w:hAnsiTheme="minorEastAsia" w:eastAsiaTheme="minorEastAsia"/>
          <w:b/>
          <w:bCs/>
          <w:color w:val="000000" w:themeColor="text1"/>
          <w:szCs w:val="21"/>
        </w:rPr>
      </w:pPr>
      <w:r>
        <w:rPr>
          <w:rFonts w:hint="eastAsia" w:cs="仿宋_GB2312" w:asciiTheme="minorEastAsia" w:hAnsiTheme="minorEastAsia" w:eastAsiaTheme="minorEastAsia"/>
          <w:b/>
          <w:bCs/>
          <w:color w:val="000000" w:themeColor="text1"/>
          <w:szCs w:val="21"/>
        </w:rPr>
        <w:t>2、质量教育</w:t>
      </w:r>
    </w:p>
    <w:p w14:paraId="179C7C66">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在体系运行过程中，公司基于PDCA的系统方法，运用各种科学、有效的工具，测量、分析、改进质量管理体系的有效性及各部门、各层次的绩效，并采用标杆对比和学习的方式，不断修正个人工作思想和意识，确保实现个人和公司整体目标。公司内部建立培训制度，根据公司的具体情况，开展各项教育培训工作；对外，积极与顾客和政府职能部门及各类培训机构外部进行沟通交流，适时邀请专家对公司员工进行专项培训。公司定期结合体系运行情况和质量实际表现情况，对各级员工开展有针对性的质量教育，对质量控制点进行专项管理，确保制造过程产品质量的一致性。</w:t>
      </w:r>
    </w:p>
    <w:p w14:paraId="189258C0">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为牢固树立全体员工的诚信意识，公司每年年初制定本年度的质量诚信教育培训计划，实行质量诚信教育培训。由公司组织一级教育工作，各部门负责人根据公司要求，编制教育培训计划和内容，认真组织实施下属的教育培训，各班组长负责员工的诚信宣传教育工作。公司通过网站、企业微信群进行传达，利用早会等多种方式对企业员工实施质量诚信教育。公司对在质量诚信教育培训中成绩优异的人员给予一定的奖励，通过培训后在工作岗位上起着模范带头或成绩突出的员工也给予一定奖励，同时在员工中宣传和推广经验。对不按时参加质量诚信教育培训或未通过培训考核的员工，给予一定的处罚。</w:t>
      </w:r>
    </w:p>
    <w:p w14:paraId="52D41924">
      <w:pPr>
        <w:spacing w:line="312" w:lineRule="auto"/>
        <w:ind w:firstLine="422" w:firstLineChars="200"/>
        <w:rPr>
          <w:rFonts w:cs="仿宋_GB2312" w:asciiTheme="minorEastAsia" w:hAnsiTheme="minorEastAsia" w:eastAsiaTheme="minorEastAsia"/>
          <w:b/>
          <w:bCs/>
          <w:color w:val="000000" w:themeColor="text1"/>
          <w:szCs w:val="21"/>
        </w:rPr>
      </w:pPr>
      <w:r>
        <w:rPr>
          <w:rFonts w:hint="eastAsia" w:cs="仿宋_GB2312" w:asciiTheme="minorEastAsia" w:hAnsiTheme="minorEastAsia" w:eastAsiaTheme="minorEastAsia"/>
          <w:b/>
          <w:bCs/>
          <w:color w:val="000000" w:themeColor="text1"/>
          <w:szCs w:val="21"/>
        </w:rPr>
        <w:t>3、质量法规及责任制度</w:t>
      </w:r>
    </w:p>
    <w:p w14:paraId="03DE7ABA">
      <w:pPr>
        <w:spacing w:line="312" w:lineRule="auto"/>
        <w:ind w:firstLine="420" w:firstLineChars="200"/>
        <w:rPr>
          <w:rFonts w:cs="宋体" w:asciiTheme="minorEastAsia" w:hAnsiTheme="minorEastAsia" w:eastAsiaTheme="minorEastAsia"/>
          <w:color w:val="000000" w:themeColor="text1"/>
          <w:kern w:val="0"/>
          <w:szCs w:val="21"/>
        </w:rPr>
      </w:pPr>
      <w:r>
        <w:rPr>
          <w:rFonts w:hint="eastAsia" w:cs="仿宋_GB2312" w:asciiTheme="minorEastAsia" w:hAnsiTheme="minorEastAsia" w:eastAsiaTheme="minorEastAsia"/>
          <w:color w:val="000000" w:themeColor="text1"/>
          <w:szCs w:val="21"/>
        </w:rPr>
        <w:t>公司通过收集法律法规及其它标准、要求，制定内部相关标准，使产品达到国家法律法规和国家、行业标准的要求（部分产品指标高于行业标准要求），从产品技术上践行社会责任。同时，公司制定了《公司质量目标考核》等，对产品质量问题进行责罚，遵循对质量事故不放过原则</w:t>
      </w:r>
      <w:r>
        <w:rPr>
          <w:rFonts w:hint="eastAsia" w:cs="宋体" w:asciiTheme="minorEastAsia" w:hAnsiTheme="minorEastAsia" w:eastAsiaTheme="minorEastAsia"/>
          <w:color w:val="000000" w:themeColor="text1"/>
          <w:kern w:val="0"/>
          <w:szCs w:val="21"/>
        </w:rPr>
        <w:t>。</w:t>
      </w:r>
    </w:p>
    <w:p w14:paraId="7729E634">
      <w:pPr>
        <w:pStyle w:val="9"/>
        <w:spacing w:line="276" w:lineRule="auto"/>
        <w:jc w:val="center"/>
        <w:rPr>
          <w:rFonts w:cs="仿宋_GB2312" w:asciiTheme="minorEastAsia" w:hAnsiTheme="minorEastAsia" w:eastAsiaTheme="minorEastAsia"/>
          <w:b/>
          <w:bCs/>
          <w:color w:val="000000" w:themeColor="text1"/>
          <w:sz w:val="21"/>
          <w:szCs w:val="21"/>
        </w:rPr>
      </w:pPr>
      <w:r>
        <w:rPr>
          <w:rFonts w:hint="eastAsia" w:cs="仿宋_GB2312" w:asciiTheme="minorEastAsia" w:hAnsiTheme="minorEastAsia" w:eastAsiaTheme="minorEastAsia"/>
          <w:b/>
          <w:bCs/>
          <w:color w:val="000000" w:themeColor="text1"/>
          <w:sz w:val="21"/>
          <w:szCs w:val="21"/>
        </w:rPr>
        <w:t>图表2 公司所遵守的质量标准和其他相关法律</w:t>
      </w:r>
    </w:p>
    <w:tbl>
      <w:tblPr>
        <w:tblStyle w:val="24"/>
        <w:tblW w:w="8848"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1731"/>
        <w:gridCol w:w="7117"/>
      </w:tblGrid>
      <w:tr w14:paraId="38E2C7B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73" w:hRule="atLeast"/>
          <w:tblHeader/>
          <w:jc w:val="center"/>
        </w:trPr>
        <w:tc>
          <w:tcPr>
            <w:tcW w:w="1731" w:type="dxa"/>
            <w:shd w:val="clear" w:color="auto" w:fill="DBE5F1" w:themeFill="accent1" w:themeFillTint="33"/>
            <w:vAlign w:val="center"/>
          </w:tcPr>
          <w:p w14:paraId="43C362A5">
            <w:pPr>
              <w:spacing w:line="276" w:lineRule="auto"/>
              <w:jc w:val="center"/>
              <w:rPr>
                <w:rFonts w:asciiTheme="minorEastAsia" w:hAnsiTheme="minorEastAsia" w:eastAsiaTheme="minorEastAsia"/>
                <w:b/>
                <w:bCs/>
                <w:color w:val="000000" w:themeColor="text1"/>
                <w:szCs w:val="21"/>
              </w:rPr>
            </w:pPr>
            <w:r>
              <w:rPr>
                <w:rFonts w:asciiTheme="minorEastAsia" w:hAnsiTheme="minorEastAsia" w:eastAsiaTheme="minorEastAsia"/>
                <w:b/>
                <w:bCs/>
                <w:color w:val="000000" w:themeColor="text1"/>
                <w:szCs w:val="21"/>
              </w:rPr>
              <w:t>类 别</w:t>
            </w:r>
          </w:p>
        </w:tc>
        <w:tc>
          <w:tcPr>
            <w:tcW w:w="7117" w:type="dxa"/>
            <w:shd w:val="clear" w:color="auto" w:fill="DBE5F1" w:themeFill="accent1" w:themeFillTint="33"/>
            <w:vAlign w:val="center"/>
          </w:tcPr>
          <w:p w14:paraId="1BF63959">
            <w:pPr>
              <w:spacing w:line="276" w:lineRule="auto"/>
              <w:jc w:val="center"/>
              <w:rPr>
                <w:rFonts w:asciiTheme="minorEastAsia" w:hAnsiTheme="minorEastAsia" w:eastAsiaTheme="minorEastAsia"/>
                <w:b/>
                <w:bCs/>
                <w:color w:val="000000" w:themeColor="text1"/>
                <w:szCs w:val="21"/>
              </w:rPr>
            </w:pPr>
            <w:r>
              <w:rPr>
                <w:rFonts w:asciiTheme="minorEastAsia" w:hAnsiTheme="minorEastAsia" w:eastAsiaTheme="minorEastAsia"/>
                <w:b/>
                <w:bCs/>
                <w:color w:val="000000" w:themeColor="text1"/>
                <w:szCs w:val="21"/>
              </w:rPr>
              <w:t>内  容</w:t>
            </w:r>
          </w:p>
        </w:tc>
      </w:tr>
      <w:tr w14:paraId="44F2AD9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731" w:type="dxa"/>
            <w:shd w:val="clear" w:color="auto" w:fill="auto"/>
            <w:vAlign w:val="center"/>
          </w:tcPr>
          <w:p w14:paraId="2C276621">
            <w:pPr>
              <w:spacing w:line="360" w:lineRule="auto"/>
              <w:ind w:firstLine="210" w:firstLineChars="1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员工权益</w:t>
            </w:r>
          </w:p>
          <w:p w14:paraId="240B8C08">
            <w:pPr>
              <w:spacing w:line="360" w:lineRule="auto"/>
              <w:ind w:firstLine="210" w:firstLineChars="1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社会责任</w:t>
            </w:r>
          </w:p>
        </w:tc>
        <w:tc>
          <w:tcPr>
            <w:tcW w:w="7117" w:type="dxa"/>
            <w:shd w:val="clear" w:color="auto" w:fill="auto"/>
          </w:tcPr>
          <w:p w14:paraId="4BB276E0">
            <w:pPr>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《劳动法》、《工会法》、《消费者权益保护法》、《环境保护法》、《安全生产法》、《职业病防治法》、质量管理体系、环境管理体系、职业健康安全管理体系等。</w:t>
            </w:r>
          </w:p>
        </w:tc>
      </w:tr>
      <w:tr w14:paraId="2CD6E74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jc w:val="center"/>
        </w:trPr>
        <w:tc>
          <w:tcPr>
            <w:tcW w:w="1731" w:type="dxa"/>
            <w:shd w:val="clear" w:color="auto" w:fill="auto"/>
            <w:vAlign w:val="center"/>
          </w:tcPr>
          <w:p w14:paraId="0E4077A1">
            <w:pPr>
              <w:spacing w:line="360" w:lineRule="auto"/>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产品标准执行</w:t>
            </w:r>
          </w:p>
        </w:tc>
        <w:tc>
          <w:tcPr>
            <w:tcW w:w="7117" w:type="dxa"/>
            <w:shd w:val="clear" w:color="auto" w:fill="auto"/>
          </w:tcPr>
          <w:p w14:paraId="2527B12C">
            <w:pPr>
              <w:pStyle w:val="6"/>
              <w:keepNext w:val="0"/>
              <w:keepLines w:val="0"/>
              <w:shd w:val="clear" w:color="auto" w:fill="FFFFFF"/>
              <w:spacing w:before="0" w:after="0" w:line="240" w:lineRule="auto"/>
              <w:ind w:firstLine="0"/>
              <w:rPr>
                <w:rFonts w:cs="仿宋_GB2312" w:asciiTheme="minorEastAsia" w:hAnsiTheme="minorEastAsia" w:eastAsiaTheme="minorEastAsia"/>
                <w:b w:val="0"/>
                <w:bCs w:val="0"/>
                <w:color w:val="0000FF"/>
                <w:kern w:val="2"/>
                <w:sz w:val="21"/>
                <w:szCs w:val="21"/>
              </w:rPr>
            </w:pPr>
            <w:r>
              <w:rPr>
                <w:rFonts w:hint="eastAsia" w:cs="仿宋_GB2312" w:asciiTheme="minorEastAsia" w:hAnsiTheme="minorEastAsia" w:eastAsiaTheme="minorEastAsia"/>
                <w:b w:val="0"/>
                <w:bCs w:val="0"/>
                <w:color w:val="0000FF"/>
                <w:kern w:val="2"/>
                <w:sz w:val="21"/>
                <w:szCs w:val="21"/>
              </w:rPr>
              <w:t>执行GB/T 5023.5-2008</w:t>
            </w:r>
            <w:r>
              <w:rPr>
                <w:rFonts w:cs="仿宋_GB2312" w:asciiTheme="minorEastAsia" w:hAnsiTheme="minorEastAsia" w:eastAsiaTheme="minorEastAsia"/>
                <w:b w:val="0"/>
                <w:bCs w:val="0"/>
                <w:color w:val="0000FF"/>
                <w:kern w:val="2"/>
                <w:sz w:val="21"/>
                <w:szCs w:val="21"/>
              </w:rPr>
              <w:t>额定电压450/750V及以下聚氯乙烯绝缘电缆 第5部分：软电缆（软线）</w:t>
            </w:r>
          </w:p>
          <w:p w14:paraId="1390B7BA">
            <w:pPr>
              <w:pStyle w:val="6"/>
              <w:keepNext w:val="0"/>
              <w:keepLines w:val="0"/>
              <w:shd w:val="clear" w:color="auto" w:fill="FFFFFF"/>
              <w:spacing w:before="0" w:after="0" w:line="240" w:lineRule="auto"/>
              <w:ind w:firstLine="0"/>
              <w:rPr>
                <w:rFonts w:cs="仿宋_GB2312" w:asciiTheme="minorEastAsia" w:hAnsiTheme="minorEastAsia" w:eastAsiaTheme="minorEastAsia"/>
                <w:b w:val="0"/>
                <w:bCs w:val="0"/>
                <w:color w:val="0000FF"/>
                <w:kern w:val="2"/>
                <w:sz w:val="21"/>
                <w:szCs w:val="21"/>
              </w:rPr>
            </w:pPr>
            <w:r>
              <w:rPr>
                <w:rFonts w:hint="eastAsia" w:cs="仿宋_GB2312" w:asciiTheme="minorEastAsia" w:hAnsiTheme="minorEastAsia" w:eastAsiaTheme="minorEastAsia"/>
                <w:b w:val="0"/>
                <w:bCs w:val="0"/>
                <w:color w:val="0000FF"/>
                <w:kern w:val="2"/>
                <w:sz w:val="21"/>
                <w:szCs w:val="21"/>
              </w:rPr>
              <w:t>JB/T 8734.3-2016</w:t>
            </w:r>
            <w:r>
              <w:rPr>
                <w:rFonts w:cs="仿宋_GB2312" w:asciiTheme="minorEastAsia" w:hAnsiTheme="minorEastAsia" w:eastAsiaTheme="minorEastAsia"/>
                <w:b w:val="0"/>
                <w:bCs w:val="0"/>
                <w:color w:val="0000FF"/>
                <w:kern w:val="2"/>
                <w:sz w:val="21"/>
                <w:szCs w:val="21"/>
              </w:rPr>
              <w:t>额定电压450/750V及以下聚氯乙烯绝缘电缆电线和软线 第3部分：连接用软电线和软电缆</w:t>
            </w:r>
          </w:p>
          <w:p w14:paraId="4B71C2A5">
            <w:pPr>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FF"/>
                <w:szCs w:val="21"/>
              </w:rPr>
              <w:t xml:space="preserve">T/ZZB </w:t>
            </w:r>
            <w:r>
              <w:rPr>
                <w:rFonts w:hint="eastAsia" w:cs="仿宋_GB2312" w:asciiTheme="minorEastAsia" w:hAnsiTheme="minorEastAsia" w:eastAsiaTheme="minorEastAsia"/>
                <w:color w:val="0000FF"/>
                <w:szCs w:val="21"/>
                <w:lang w:val="en-US" w:eastAsia="zh-CN"/>
              </w:rPr>
              <w:t>2343-2021</w:t>
            </w:r>
            <w:r>
              <w:rPr>
                <w:rFonts w:hint="eastAsia" w:cs="仿宋_GB2312" w:asciiTheme="minorEastAsia" w:hAnsiTheme="minorEastAsia" w:eastAsiaTheme="minorEastAsia"/>
                <w:color w:val="0000FF"/>
                <w:szCs w:val="21"/>
              </w:rPr>
              <w:t xml:space="preserve"> 浙江制造团体标准《额定电压 1 kV（Um=1.2 kV）交联聚乙烯绝缘聚烯烃护套无卤低烟阻燃 B1级电力电缆 》。</w:t>
            </w:r>
          </w:p>
        </w:tc>
      </w:tr>
    </w:tbl>
    <w:p w14:paraId="1DD63D4A">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公司制定了《内部审核控制程序》、《管理评审控制程序》，为确保体系运行的有效性和持续改进，安排内审、过程审核和产品审核，对于审核中发现的不符合项，由责任部门分析原因，制定纠正或预防措施，落实整改，并验证整改效果，最终形成内部审核报告，对体系的整改及不符合项的预防提出建议，并作为管理评审的一个重要输入，报告最高管理者。</w:t>
      </w:r>
    </w:p>
    <w:p w14:paraId="5A462BFE">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公司制定了《不合格输出控制程序》、《</w:t>
      </w:r>
      <w:r>
        <w:rPr>
          <w:rFonts w:hint="eastAsia" w:ascii="宋体" w:hAnsi="宋体" w:cs="宋体"/>
          <w:color w:val="000000" w:themeColor="text1"/>
          <w:szCs w:val="21"/>
        </w:rPr>
        <w:t>改进控制程序</w:t>
      </w:r>
      <w:r>
        <w:rPr>
          <w:rFonts w:hint="eastAsia" w:cs="仿宋_GB2312" w:asciiTheme="minorEastAsia" w:hAnsiTheme="minorEastAsia" w:eastAsiaTheme="minorEastAsia"/>
          <w:color w:val="000000" w:themeColor="text1"/>
          <w:szCs w:val="21"/>
        </w:rPr>
        <w:t>》对不合格品进行了严格管控。公司制定了产品检验标准，产品都经过自检、互检、在线检查、专检，合格后方可流入下道工序或出厂。任何不合格产品均有明确的标识、记录、隔离和处理等要求，各种不合格产品返工、返修后必须经过重新检验合格后才能进入下道工序。</w:t>
      </w:r>
    </w:p>
    <w:p w14:paraId="5354451C">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同时，对于所有出现的不合格，均有详细记录，并由专人进行统计分析后，由责任单位依据《</w:t>
      </w:r>
      <w:r>
        <w:rPr>
          <w:rFonts w:hint="eastAsia" w:ascii="宋体" w:hAnsi="宋体" w:cs="宋体"/>
          <w:color w:val="000000" w:themeColor="text1"/>
          <w:szCs w:val="21"/>
        </w:rPr>
        <w:t>改进控制程序</w:t>
      </w:r>
      <w:r>
        <w:rPr>
          <w:rFonts w:hint="eastAsia" w:cs="仿宋_GB2312" w:asciiTheme="minorEastAsia" w:hAnsiTheme="minorEastAsia" w:eastAsiaTheme="minorEastAsia"/>
          <w:color w:val="000000" w:themeColor="text1"/>
          <w:szCs w:val="21"/>
        </w:rPr>
        <w:t>》制定纠正措施并进行整改，评估纠正措施有效之后方能关闭问题项。</w:t>
      </w:r>
    </w:p>
    <w:p w14:paraId="47321243">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此外，公司对出现的质量问题进行问责和教育，并在日常开发、生产作业中，强调标准化，通过持续改善等活动及质量功能展开，充分应用PDCA循环，持续改善，追求卓越。</w:t>
      </w:r>
    </w:p>
    <w:p w14:paraId="30971CD9">
      <w:pPr>
        <w:pStyle w:val="21"/>
        <w:spacing w:before="0" w:beforeAutospacing="0" w:after="0" w:afterAutospacing="0" w:line="312" w:lineRule="auto"/>
        <w:ind w:firstLine="422" w:firstLineChars="200"/>
        <w:rPr>
          <w:b/>
          <w:sz w:val="21"/>
          <w:szCs w:val="21"/>
        </w:rPr>
      </w:pPr>
      <w:r>
        <w:rPr>
          <w:rFonts w:hint="eastAsia" w:cs="仿宋_GB2312" w:asciiTheme="minorEastAsia" w:hAnsiTheme="minorEastAsia" w:eastAsiaTheme="minorEastAsia"/>
          <w:b/>
          <w:bCs/>
          <w:color w:val="000000" w:themeColor="text1"/>
          <w:sz w:val="21"/>
          <w:szCs w:val="21"/>
        </w:rPr>
        <w:t>4、</w:t>
      </w:r>
      <w:r>
        <w:rPr>
          <w:rFonts w:hint="eastAsia"/>
          <w:b/>
          <w:sz w:val="21"/>
          <w:szCs w:val="21"/>
        </w:rPr>
        <w:t>质量责任赔偿</w:t>
      </w:r>
    </w:p>
    <w:p w14:paraId="725C995C">
      <w:pPr>
        <w:pStyle w:val="21"/>
        <w:spacing w:before="0" w:beforeAutospacing="0" w:after="0" w:afterAutospacing="0" w:line="312" w:lineRule="auto"/>
        <w:ind w:firstLine="420" w:firstLineChars="200"/>
        <w:rPr>
          <w:sz w:val="21"/>
          <w:szCs w:val="21"/>
        </w:rPr>
      </w:pPr>
      <w:r>
        <w:rPr>
          <w:rFonts w:hint="eastAsia"/>
          <w:sz w:val="21"/>
          <w:szCs w:val="21"/>
        </w:rPr>
        <w:t>公司内部，为进一步控制原料质量，加强中间控制，提高产品一次合格率，促进生产操作人员的工作积极性，通过全面质量管理提高产品质量，降低生产成本，根据公司整体要求，遵照公司产品质量及整体效益与员工利益挂钩的原则，制定了《公司质量目标考核》。为规避质量事故的发生，建立问题追溯机制，梳理产生的原因并采取措施，以提高产品质量，提高效益。同时，为保证顾客</w:t>
      </w:r>
      <w:r>
        <w:rPr>
          <w:sz w:val="21"/>
          <w:szCs w:val="21"/>
        </w:rPr>
        <w:t>的合法权益</w:t>
      </w:r>
      <w:r>
        <w:rPr>
          <w:rFonts w:hint="eastAsia"/>
          <w:sz w:val="21"/>
          <w:szCs w:val="21"/>
        </w:rPr>
        <w:t>，公司始终为客户提供有质量保证的合格产品，并对因产品质量问题导致客户产生损失的情况予以严格处理。公司为售出的产品购买了产品责任保险。</w:t>
      </w:r>
    </w:p>
    <w:p w14:paraId="307CCC41">
      <w:pPr>
        <w:spacing w:line="360" w:lineRule="auto"/>
        <w:ind w:firstLine="482" w:firstLineChars="200"/>
        <w:outlineLvl w:val="1"/>
        <w:rPr>
          <w:rFonts w:cs="仿宋_GB2312" w:asciiTheme="minorEastAsia" w:hAnsiTheme="minorEastAsia" w:eastAsiaTheme="minorEastAsia"/>
          <w:b/>
          <w:bCs/>
          <w:color w:val="000000" w:themeColor="text1"/>
          <w:sz w:val="24"/>
        </w:rPr>
      </w:pPr>
      <w:bookmarkStart w:id="16" w:name="_Toc1998"/>
      <w:r>
        <w:rPr>
          <w:rFonts w:hint="eastAsia" w:cs="仿宋_GB2312" w:asciiTheme="minorEastAsia" w:hAnsiTheme="minorEastAsia" w:eastAsiaTheme="minorEastAsia"/>
          <w:b/>
          <w:bCs/>
          <w:color w:val="000000" w:themeColor="text1"/>
          <w:sz w:val="24"/>
        </w:rPr>
        <w:t>（三）质量安全风险管理</w:t>
      </w:r>
      <w:bookmarkEnd w:id="16"/>
    </w:p>
    <w:p w14:paraId="7E468291">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公司所有产品和过程，均按项目管理方式或流程实施设计和开发，对产品特性和过程特性实施潜在失效模式及后果分析，对风险顺序数高的环节，采取必要的措施，降低风险。编制质量控制计划、作业指导书等文件，对每项产品要求和过程环节进行风险分析。做到每一个环节严格控制，严格把关，确保每个零件的生产都符合相关要求，确保最终产品质量的合格。</w:t>
      </w:r>
    </w:p>
    <w:p w14:paraId="6FAE8D47">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在工序，实施三检制，即自检、互检、专检，对产品质量进行严格把控。在整个流程中，如进货检验、过程检验、最终检验，进行层层把关。并根据需要，开展质量管理体系审核、过程审核、产品审核等工作。对特殊工序实施控制。</w:t>
      </w:r>
    </w:p>
    <w:p w14:paraId="49402D88">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公司在质量管理和控制上，建立了评审放行制度，防范质量安全风险。公司制定了质量安全应急预案，成立了以总经理为组长，品质部主管、销售经理为副组长，采购部、技术部、财务部为组员的应急领导小组。并明确了应急领导小组及各相关部门职责。</w:t>
      </w:r>
    </w:p>
    <w:p w14:paraId="150DEAA3">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公司为快速反应，有效的降低风险，还建立了质量异常反馈处理流程，防范和降低质量安全风险。</w:t>
      </w:r>
    </w:p>
    <w:p w14:paraId="3DFF60C4">
      <w:pPr>
        <w:spacing w:line="312" w:lineRule="auto"/>
        <w:ind w:firstLine="422" w:firstLineChars="200"/>
        <w:jc w:val="center"/>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b/>
          <w:bCs/>
          <w:color w:val="000000" w:themeColor="text1"/>
          <w:szCs w:val="21"/>
        </w:rPr>
        <w:t>图表4 风险管理流程图</w:t>
      </w:r>
    </w:p>
    <w:p w14:paraId="43FCA224">
      <w:pPr>
        <w:widowControl/>
        <w:shd w:val="clear" w:color="auto" w:fill="FFFFFF"/>
        <w:spacing w:line="276" w:lineRule="auto"/>
        <w:jc w:val="center"/>
        <w:rPr>
          <w:rFonts w:cs="仿宋_GB2312" w:asciiTheme="minorEastAsia" w:hAnsiTheme="minorEastAsia" w:eastAsiaTheme="minorEastAsia"/>
          <w:color w:val="000000" w:themeColor="text1"/>
          <w:sz w:val="28"/>
          <w:szCs w:val="28"/>
        </w:rPr>
      </w:pPr>
      <w:r>
        <w:rPr>
          <w:rFonts w:cs="Arial" w:asciiTheme="minorEastAsia" w:hAnsiTheme="minorEastAsia" w:eastAsiaTheme="minorEastAsia"/>
          <w:color w:val="000000" w:themeColor="text1"/>
          <w:kern w:val="0"/>
          <w:sz w:val="18"/>
          <w:szCs w:val="18"/>
        </w:rPr>
        <w:drawing>
          <wp:inline distT="0" distB="0" distL="0" distR="0">
            <wp:extent cx="2562860" cy="2625090"/>
            <wp:effectExtent l="0" t="0" r="0" b="0"/>
            <wp:docPr id="3" name="图片 3" descr="http://www.china-medicines.com/images/image/2014071410370513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http://www.china-medicines.com/images/image/2014071410370513513.jpg"/>
                    <pic:cNvPicPr>
                      <a:picLocks noChangeAspect="1" noChangeArrowheads="1"/>
                    </pic:cNvPicPr>
                  </pic:nvPicPr>
                  <pic:blipFill>
                    <a:blip r:embed="rId10"/>
                    <a:srcRect/>
                    <a:stretch>
                      <a:fillRect/>
                    </a:stretch>
                  </pic:blipFill>
                  <pic:spPr>
                    <a:xfrm>
                      <a:off x="0" y="0"/>
                      <a:ext cx="2562952" cy="2625463"/>
                    </a:xfrm>
                    <a:prstGeom prst="rect">
                      <a:avLst/>
                    </a:prstGeom>
                    <a:noFill/>
                    <a:ln w="9525">
                      <a:noFill/>
                      <a:miter lim="800000"/>
                      <a:headEnd/>
                      <a:tailEnd/>
                    </a:ln>
                  </pic:spPr>
                </pic:pic>
              </a:graphicData>
            </a:graphic>
          </wp:inline>
        </w:drawing>
      </w:r>
      <w:r>
        <w:rPr>
          <w:rFonts w:cs="Arial" w:asciiTheme="minorEastAsia" w:hAnsiTheme="minorEastAsia" w:eastAsiaTheme="minorEastAsia"/>
          <w:color w:val="000000" w:themeColor="text1"/>
          <w:kern w:val="0"/>
          <w:sz w:val="18"/>
          <w:szCs w:val="18"/>
        </w:rPr>
        <w:t> </w:t>
      </w:r>
      <w:bookmarkStart w:id="17" w:name="_Toc451594568"/>
    </w:p>
    <w:p w14:paraId="2AC6BA6D">
      <w:pPr>
        <w:spacing w:line="360" w:lineRule="auto"/>
        <w:rPr>
          <w:rFonts w:cs="仿宋_GB2312" w:asciiTheme="minorEastAsia" w:hAnsiTheme="minorEastAsia" w:eastAsiaTheme="minorEastAsia"/>
          <w:b/>
          <w:bCs/>
          <w:color w:val="000000" w:themeColor="text1"/>
          <w:sz w:val="28"/>
          <w:szCs w:val="28"/>
        </w:rPr>
        <w:sectPr>
          <w:pgSz w:w="11906" w:h="16838"/>
          <w:pgMar w:top="1440" w:right="1406" w:bottom="1440" w:left="1463" w:header="851" w:footer="992" w:gutter="0"/>
          <w:cols w:space="425" w:num="1"/>
          <w:docGrid w:type="lines" w:linePitch="312" w:charSpace="0"/>
        </w:sectPr>
      </w:pPr>
    </w:p>
    <w:p w14:paraId="200FE7A2">
      <w:pPr>
        <w:spacing w:line="360" w:lineRule="auto"/>
        <w:outlineLvl w:val="0"/>
        <w:rPr>
          <w:rFonts w:cs="仿宋_GB2312" w:asciiTheme="minorEastAsia" w:hAnsiTheme="minorEastAsia" w:eastAsiaTheme="minorEastAsia"/>
          <w:b/>
          <w:bCs/>
          <w:color w:val="000000" w:themeColor="text1"/>
          <w:sz w:val="28"/>
          <w:szCs w:val="28"/>
        </w:rPr>
      </w:pPr>
      <w:bookmarkStart w:id="18" w:name="_Toc27223"/>
      <w:r>
        <w:rPr>
          <w:rFonts w:hint="eastAsia" w:cs="仿宋_GB2312" w:asciiTheme="minorEastAsia" w:hAnsiTheme="minorEastAsia" w:eastAsiaTheme="minorEastAsia"/>
          <w:b/>
          <w:bCs/>
          <w:color w:val="000000" w:themeColor="text1"/>
          <w:sz w:val="28"/>
          <w:szCs w:val="28"/>
        </w:rPr>
        <w:t>四、质量诚信管理</w:t>
      </w:r>
      <w:bookmarkEnd w:id="17"/>
      <w:bookmarkEnd w:id="18"/>
    </w:p>
    <w:p w14:paraId="64E49EC9">
      <w:pPr>
        <w:spacing w:line="360" w:lineRule="auto"/>
        <w:ind w:firstLine="482" w:firstLineChars="200"/>
        <w:outlineLvl w:val="1"/>
        <w:rPr>
          <w:rFonts w:cs="仿宋_GB2312" w:asciiTheme="minorEastAsia" w:hAnsiTheme="minorEastAsia" w:eastAsiaTheme="minorEastAsia"/>
          <w:b/>
          <w:bCs/>
          <w:color w:val="000000" w:themeColor="text1"/>
          <w:sz w:val="24"/>
        </w:rPr>
      </w:pPr>
      <w:bookmarkStart w:id="19" w:name="_Toc32539"/>
      <w:r>
        <w:rPr>
          <w:rFonts w:hint="eastAsia" w:cs="仿宋_GB2312" w:asciiTheme="minorEastAsia" w:hAnsiTheme="minorEastAsia" w:eastAsiaTheme="minorEastAsia"/>
          <w:b/>
          <w:bCs/>
          <w:color w:val="000000" w:themeColor="text1"/>
          <w:sz w:val="24"/>
        </w:rPr>
        <w:t>（一） 质量承诺</w:t>
      </w:r>
      <w:bookmarkEnd w:id="19"/>
    </w:p>
    <w:p w14:paraId="44F0E64F">
      <w:pPr>
        <w:spacing w:line="312" w:lineRule="auto"/>
        <w:ind w:firstLine="422" w:firstLineChars="200"/>
        <w:rPr>
          <w:rFonts w:cs="仿宋_GB2312" w:asciiTheme="minorEastAsia" w:hAnsiTheme="minorEastAsia" w:eastAsiaTheme="minorEastAsia"/>
          <w:b/>
          <w:bCs/>
          <w:color w:val="000000" w:themeColor="text1"/>
          <w:szCs w:val="21"/>
        </w:rPr>
      </w:pPr>
      <w:r>
        <w:rPr>
          <w:rFonts w:hint="eastAsia" w:cs="仿宋_GB2312" w:asciiTheme="minorEastAsia" w:hAnsiTheme="minorEastAsia" w:eastAsiaTheme="minorEastAsia"/>
          <w:b/>
          <w:bCs/>
          <w:color w:val="000000" w:themeColor="text1"/>
          <w:szCs w:val="21"/>
        </w:rPr>
        <w:t>1、诚信守法</w:t>
      </w:r>
    </w:p>
    <w:p w14:paraId="5F8DDCA1">
      <w:pPr>
        <w:spacing w:line="312" w:lineRule="auto"/>
        <w:ind w:firstLine="420" w:firstLineChars="200"/>
        <w:rPr>
          <w:rFonts w:cs="仿宋_GB2312" w:asciiTheme="minorEastAsia" w:hAnsiTheme="minorEastAsia" w:eastAsiaTheme="minorEastAsia"/>
          <w:color w:val="000000" w:themeColor="text1"/>
          <w:szCs w:val="21"/>
          <w:highlight w:val="yellow"/>
        </w:rPr>
      </w:pPr>
      <w:r>
        <w:rPr>
          <w:rFonts w:hint="eastAsia" w:cs="仿宋_GB2312" w:asciiTheme="minorEastAsia" w:hAnsiTheme="minorEastAsia" w:eastAsiaTheme="minorEastAsia"/>
          <w:color w:val="000000" w:themeColor="text1"/>
          <w:szCs w:val="21"/>
        </w:rPr>
        <w:t>高层领导遵循“依法经营、诚信经营”的管理理念，严格遵循《公司法》、《经济法》、《合同法》、《产品质量法》、《安全生产法》、《环保法》、《劳动法》以及机械行业的相关法律法规，并建立实施了质量、环境、职业健康安全管理体系，并都通过了认证。实施了员工法律法规知识培训，配合政府部门开展普法教育活动，鼓励表彰员工的“正能量”，使诚信守法的作风深入公司全体员工的意识和行为。公司合同主动违约率为零，从不拖欠银行贷款，逾期应收账款降至合理范围，公司高层、中层领导都没有违法乱纪纪录，员工违法次数为零，在顾客、供方、员工、社会中树立了良好的信用道德形象。公司被评为浙江省“守合同重信用AAA级”企业。</w:t>
      </w:r>
    </w:p>
    <w:p w14:paraId="02C1AAAE">
      <w:pPr>
        <w:spacing w:line="312" w:lineRule="auto"/>
        <w:ind w:firstLine="422" w:firstLineChars="200"/>
        <w:rPr>
          <w:rFonts w:cs="仿宋_GB2312" w:asciiTheme="minorEastAsia" w:hAnsiTheme="minorEastAsia" w:eastAsiaTheme="minorEastAsia"/>
          <w:b/>
          <w:bCs/>
          <w:color w:val="000000" w:themeColor="text1"/>
          <w:szCs w:val="21"/>
        </w:rPr>
      </w:pPr>
      <w:r>
        <w:rPr>
          <w:rFonts w:hint="eastAsia" w:cs="仿宋_GB2312" w:asciiTheme="minorEastAsia" w:hAnsiTheme="minorEastAsia" w:eastAsiaTheme="minorEastAsia"/>
          <w:b/>
          <w:bCs/>
          <w:color w:val="000000" w:themeColor="text1"/>
          <w:szCs w:val="21"/>
        </w:rPr>
        <w:t>2、满足客户需求</w:t>
      </w:r>
    </w:p>
    <w:p w14:paraId="1001184D">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公司高度重视技术研发，通过自主研发产品，提升产品质量，以较高的性价比为客户提供高水平的产品。公司加强研发力量的投入，以客户需求为中心，积极听取客户关于功能、质量、成本等方面的意见和建议，开展产品改进和创新活动，满足客户对产品和交期的需求。在产品质量方面，公司严格执行质量管理体系，通过开展技术攻关、质量改进等活动，保障产品质量安全。</w:t>
      </w:r>
    </w:p>
    <w:p w14:paraId="0B1E3EB4">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多年来，公司在整个经营活动中，严格遵守与各有关方签订的保密协议，获得了顾客的高度评价，并经常被顾客约请参与顾客新项目的开发工作。</w:t>
      </w:r>
    </w:p>
    <w:p w14:paraId="6C2D60E4">
      <w:pPr>
        <w:spacing w:line="360" w:lineRule="auto"/>
        <w:ind w:firstLine="482" w:firstLineChars="200"/>
        <w:outlineLvl w:val="1"/>
        <w:rPr>
          <w:rFonts w:cs="仿宋_GB2312" w:asciiTheme="minorEastAsia" w:hAnsiTheme="minorEastAsia" w:eastAsiaTheme="minorEastAsia"/>
          <w:b/>
          <w:bCs/>
          <w:color w:val="000000" w:themeColor="text1"/>
          <w:sz w:val="24"/>
        </w:rPr>
      </w:pPr>
      <w:bookmarkStart w:id="20" w:name="_Toc25700"/>
      <w:r>
        <w:rPr>
          <w:rFonts w:hint="eastAsia" w:cs="仿宋_GB2312" w:asciiTheme="minorEastAsia" w:hAnsiTheme="minorEastAsia" w:eastAsiaTheme="minorEastAsia"/>
          <w:b/>
          <w:bCs/>
          <w:color w:val="000000" w:themeColor="text1"/>
          <w:sz w:val="24"/>
        </w:rPr>
        <w:t>（二）运作管理</w:t>
      </w:r>
      <w:bookmarkEnd w:id="20"/>
    </w:p>
    <w:p w14:paraId="09C9747E">
      <w:pPr>
        <w:spacing w:line="312" w:lineRule="auto"/>
        <w:ind w:firstLine="422" w:firstLineChars="200"/>
        <w:rPr>
          <w:rFonts w:cs="仿宋_GB2312" w:asciiTheme="minorEastAsia" w:hAnsiTheme="minorEastAsia" w:eastAsiaTheme="minorEastAsia"/>
          <w:b/>
          <w:bCs/>
          <w:color w:val="000000" w:themeColor="text1"/>
          <w:szCs w:val="21"/>
        </w:rPr>
      </w:pPr>
      <w:r>
        <w:rPr>
          <w:rFonts w:hint="eastAsia" w:cs="仿宋_GB2312" w:asciiTheme="minorEastAsia" w:hAnsiTheme="minorEastAsia" w:eastAsiaTheme="minorEastAsia"/>
          <w:b/>
          <w:bCs/>
          <w:color w:val="000000" w:themeColor="text1"/>
          <w:szCs w:val="21"/>
        </w:rPr>
        <w:t>1、产品设计诚信管理</w:t>
      </w:r>
    </w:p>
    <w:p w14:paraId="300954C4">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公司产品设计与研发严格依照</w:t>
      </w:r>
      <w:r>
        <w:rPr>
          <w:rFonts w:hint="eastAsia" w:ascii="宋体" w:hAnsi="宋体" w:cs="宋体"/>
          <w:color w:val="000000" w:themeColor="text1"/>
          <w:spacing w:val="-20"/>
          <w:szCs w:val="21"/>
        </w:rPr>
        <w:t>设计开发</w:t>
      </w:r>
      <w:r>
        <w:rPr>
          <w:rFonts w:hint="eastAsia" w:cs="仿宋_GB2312" w:asciiTheme="minorEastAsia" w:hAnsiTheme="minorEastAsia" w:eastAsiaTheme="minorEastAsia"/>
          <w:color w:val="000000" w:themeColor="text1"/>
          <w:szCs w:val="21"/>
        </w:rPr>
        <w:t>流程，从研发立项、过程各类活动记录、研发过程总结、管理考评控制研发相关的整个过程。尊重他人知识和参与践行保护知识产权是公司设计开发工作的重要内容之一。</w:t>
      </w:r>
    </w:p>
    <w:p w14:paraId="73B4D81C">
      <w:pPr>
        <w:spacing w:line="312" w:lineRule="auto"/>
        <w:ind w:firstLine="422" w:firstLineChars="200"/>
        <w:rPr>
          <w:rFonts w:cs="仿宋_GB2312" w:asciiTheme="minorEastAsia" w:hAnsiTheme="minorEastAsia" w:eastAsiaTheme="minorEastAsia"/>
          <w:b/>
          <w:bCs/>
          <w:color w:val="000000" w:themeColor="text1"/>
          <w:szCs w:val="21"/>
        </w:rPr>
      </w:pPr>
      <w:r>
        <w:rPr>
          <w:rFonts w:hint="eastAsia" w:cs="仿宋_GB2312" w:asciiTheme="minorEastAsia" w:hAnsiTheme="minorEastAsia" w:eastAsiaTheme="minorEastAsia"/>
          <w:b/>
          <w:bCs/>
          <w:color w:val="000000" w:themeColor="text1"/>
          <w:szCs w:val="21"/>
        </w:rPr>
        <w:t>2、原材料或零部件采购诚信管理</w:t>
      </w:r>
    </w:p>
    <w:p w14:paraId="1A65A8A1">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企业根据物料对产品质量构成的风险程度，将物料分类管理。对物料供应商，除了必须符合法定的资质外，还要定期进行现场查验。并对特种物料进行风险分析，视供应商提供物料的质量情况决定是否需进行现场审查。并对物料供应商应当建立质量档案。对采购的原材料批批进行检验，凡未达到规定标准的原材料一律不得入库使用。</w:t>
      </w:r>
    </w:p>
    <w:p w14:paraId="7ADC2CC8">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在设备和零部件采购方面，对供应商的相关资质进行严格审查。在采购设备和零部件时，能够使用标准件的一律采购和使用标准件；需特殊加工的，需对使用效果进行充分验证，确保达到公司要求。所有设备在使用前必须经过设备验证，确保符合产品工艺要求。</w:t>
      </w:r>
    </w:p>
    <w:p w14:paraId="36B61CA4">
      <w:pPr>
        <w:spacing w:line="312" w:lineRule="auto"/>
        <w:ind w:firstLine="422" w:firstLineChars="200"/>
        <w:rPr>
          <w:rFonts w:cs="仿宋_GB2312" w:asciiTheme="minorEastAsia" w:hAnsiTheme="minorEastAsia" w:eastAsiaTheme="minorEastAsia"/>
          <w:b/>
          <w:bCs/>
          <w:color w:val="000000" w:themeColor="text1"/>
          <w:szCs w:val="21"/>
        </w:rPr>
      </w:pPr>
      <w:r>
        <w:rPr>
          <w:rFonts w:hint="eastAsia" w:cs="仿宋_GB2312" w:asciiTheme="minorEastAsia" w:hAnsiTheme="minorEastAsia" w:eastAsiaTheme="minorEastAsia"/>
          <w:b/>
          <w:bCs/>
          <w:color w:val="000000" w:themeColor="text1"/>
          <w:szCs w:val="21"/>
        </w:rPr>
        <w:t>3、生产过程诚信管理</w:t>
      </w:r>
    </w:p>
    <w:p w14:paraId="225A5F5C">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公司</w:t>
      </w:r>
      <w:r>
        <w:rPr>
          <w:rFonts w:hint="eastAsia" w:cs="仿宋_GB2312" w:asciiTheme="minorEastAsia" w:hAnsiTheme="minorEastAsia" w:eastAsiaTheme="minorEastAsia"/>
          <w:color w:val="000000" w:themeColor="text1"/>
          <w:szCs w:val="21"/>
          <w:lang w:eastAsia="zh-CN"/>
        </w:rPr>
        <w:t>生产部</w:t>
      </w:r>
      <w:r>
        <w:rPr>
          <w:rFonts w:hint="eastAsia" w:cs="仿宋_GB2312" w:asciiTheme="minorEastAsia" w:hAnsiTheme="minorEastAsia" w:eastAsiaTheme="minorEastAsia"/>
          <w:color w:val="000000" w:themeColor="text1"/>
          <w:szCs w:val="21"/>
        </w:rPr>
        <w:t>具体负责产品生产管理和现场流程管理工作。制定并逐步完善了生产管理制度、工作标准、岗位操作规程和工艺规程、管理规程、标准操作规程。采用车间集中培训和班前、班后会对各岗位操作人员进行全面的岗位技能培训，持证上岗，并采用多种方式进行督查、考核，增强员工质量意识，提高操作水平，在生产过程中，各级管理人员严格履行管理职责，及时检查，及时纠正差错，保证生产秩序的稳定。</w:t>
      </w:r>
    </w:p>
    <w:p w14:paraId="6D47996B">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对生产所需的原料、辅料、包装材料进行投料前复核，把好中间产品、成品的质量，严格执行“不生产不合格品，不接收不合格品，不流转不合格品”的“三不原则”，关键工序设质量控制点，督促员工做好自检、互检，执行监控核查规程，严格记录的管理，做到领用、发放和核对相统一。对每一生产步骤进行物料平衡，保证物料的投入和产品的产出数量与工艺要求相一致，确认无潜在质量隐患，符合账、物、卡一致的要求。</w:t>
      </w:r>
    </w:p>
    <w:p w14:paraId="1CF22C22">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生产记录由</w:t>
      </w:r>
      <w:r>
        <w:rPr>
          <w:rFonts w:hint="eastAsia" w:cs="仿宋_GB2312" w:asciiTheme="minorEastAsia" w:hAnsiTheme="minorEastAsia" w:eastAsiaTheme="minorEastAsia"/>
          <w:color w:val="000000" w:themeColor="text1"/>
          <w:szCs w:val="21"/>
          <w:lang w:eastAsia="zh-CN"/>
        </w:rPr>
        <w:t>生产部</w:t>
      </w:r>
      <w:r>
        <w:rPr>
          <w:rFonts w:hint="eastAsia" w:cs="仿宋_GB2312" w:asciiTheme="minorEastAsia" w:hAnsiTheme="minorEastAsia" w:eastAsiaTheme="minorEastAsia"/>
          <w:color w:val="000000" w:themeColor="text1"/>
          <w:szCs w:val="21"/>
        </w:rPr>
        <w:t>负责审核、印制和保管。员工操作必须按要求及时填写生产记录，做到字迹清晰、内容真实、数据完整，操作人及复核人签名确认。生产结束后，组长把记录汇总、复核，及时上交</w:t>
      </w:r>
      <w:r>
        <w:rPr>
          <w:rFonts w:hint="eastAsia" w:cs="仿宋_GB2312" w:asciiTheme="minorEastAsia" w:hAnsiTheme="minorEastAsia" w:eastAsiaTheme="minorEastAsia"/>
          <w:color w:val="000000" w:themeColor="text1"/>
          <w:szCs w:val="21"/>
          <w:lang w:eastAsia="zh-CN"/>
        </w:rPr>
        <w:t>生产部</w:t>
      </w:r>
      <w:r>
        <w:rPr>
          <w:rFonts w:hint="eastAsia" w:cs="仿宋_GB2312" w:asciiTheme="minorEastAsia" w:hAnsiTheme="minorEastAsia" w:eastAsiaTheme="minorEastAsia"/>
          <w:color w:val="000000" w:themeColor="text1"/>
          <w:szCs w:val="21"/>
        </w:rPr>
        <w:t>，经</w:t>
      </w:r>
      <w:r>
        <w:rPr>
          <w:rFonts w:hint="eastAsia" w:cs="仿宋_GB2312" w:asciiTheme="minorEastAsia" w:hAnsiTheme="minorEastAsia" w:eastAsiaTheme="minorEastAsia"/>
          <w:color w:val="000000" w:themeColor="text1"/>
          <w:szCs w:val="21"/>
          <w:lang w:eastAsia="zh-CN"/>
        </w:rPr>
        <w:t>生产部</w:t>
      </w:r>
      <w:r>
        <w:rPr>
          <w:rFonts w:hint="eastAsia" w:cs="仿宋_GB2312" w:asciiTheme="minorEastAsia" w:hAnsiTheme="minorEastAsia" w:eastAsiaTheme="minorEastAsia"/>
          <w:color w:val="000000" w:themeColor="text1"/>
          <w:szCs w:val="21"/>
        </w:rPr>
        <w:t>或品质部审核无误后，按批号整理归档，由专人管理。</w:t>
      </w:r>
    </w:p>
    <w:p w14:paraId="55188760">
      <w:pPr>
        <w:spacing w:line="312" w:lineRule="auto"/>
        <w:ind w:firstLine="315" w:firstLineChars="15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公司根据行业特点及实际情况，加强生产过程的信息化建设水平，在应用ERP系统对整个过程进行数据采集和监控，对公司整个生产过程实行系统化管理。同时，挖掘内部潜力，发挥技术骨干人员的力量，开展对现有设备进行持续性改造或科技创新工作，成立技术攻关小组，对薄弱环节进行技术攻关，完成了多项技术攻关工作和防错设计及自动化设计制作；生产员工上岗前要经过培训及考核，建立全员培训档案，通过集中培训、班前会培训、“传、帮、带”、目视化等多种方式进行培训，强化其工作技能和质量意识。生产员工严格遵守车间纪律。</w:t>
      </w:r>
    </w:p>
    <w:p w14:paraId="47AECEC0">
      <w:pPr>
        <w:spacing w:line="360" w:lineRule="auto"/>
        <w:ind w:firstLine="482" w:firstLineChars="200"/>
        <w:outlineLvl w:val="1"/>
        <w:rPr>
          <w:rFonts w:cs="仿宋_GB2312" w:asciiTheme="minorEastAsia" w:hAnsiTheme="minorEastAsia" w:eastAsiaTheme="minorEastAsia"/>
          <w:b/>
          <w:bCs/>
          <w:color w:val="000000" w:themeColor="text1"/>
          <w:sz w:val="24"/>
        </w:rPr>
      </w:pPr>
      <w:bookmarkStart w:id="21" w:name="_Toc32700"/>
      <w:r>
        <w:rPr>
          <w:rFonts w:hint="eastAsia" w:cs="仿宋_GB2312" w:asciiTheme="minorEastAsia" w:hAnsiTheme="minorEastAsia" w:eastAsiaTheme="minorEastAsia"/>
          <w:b/>
          <w:bCs/>
          <w:color w:val="000000" w:themeColor="text1"/>
          <w:sz w:val="24"/>
        </w:rPr>
        <w:t>（三）营销管理</w:t>
      </w:r>
      <w:bookmarkEnd w:id="21"/>
    </w:p>
    <w:p w14:paraId="0CE1A73E">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公司根据战略要求，对市场进行细分，以提高资源和运作的有效性针对性。公司将顾客分为不同类型。针对不同类型顾客确定顾客的需求与期望，针对其需求与期望来确定适当的方法，建立相应的体系与团队，建立各种渠道和方法，针对性的进行顾客需求与期望的了解。</w:t>
      </w:r>
    </w:p>
    <w:p w14:paraId="19BBC2EF">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公司通过展览会、行业会议、行业标委会、公共媒体、互联网、外部机构等渠道，以问卷调查、面对面或电话访谈、观察查询、外部委托等方法，了解客户的需求和期望。</w:t>
      </w:r>
    </w:p>
    <w:p w14:paraId="1413EC47">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公司各部门定期搜集顾客信息，解析后确定的顾客需求信息按照不同细分市场进行分类梳理总结，形成不同顾客群的需求与期望数据库，并从中归纳出针对不同细分市场顾客群总体需求特点的汇总资料，供产品规划、产品开发设计、过程控制等决策时参考。</w:t>
      </w:r>
    </w:p>
    <w:p w14:paraId="4D9235FB">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公司树立“以客户需求为导向”的服务理念，要求业务人员对于任何一位客户，不论他下单与否，都要做到热情、周到，都要尽量满足他们的所有合理需求。制订了《</w:t>
      </w:r>
      <w:r>
        <w:rPr>
          <w:rFonts w:hint="eastAsia" w:ascii="宋体" w:hAnsi="宋体" w:cs="宋体"/>
          <w:color w:val="000000" w:themeColor="text1"/>
          <w:szCs w:val="21"/>
        </w:rPr>
        <w:t>顾客满意度监测控制程序</w:t>
      </w:r>
      <w:r>
        <w:rPr>
          <w:rFonts w:hint="eastAsia" w:cs="仿宋_GB2312" w:asciiTheme="minorEastAsia" w:hAnsiTheme="minorEastAsia" w:eastAsiaTheme="minorEastAsia"/>
          <w:color w:val="000000" w:themeColor="text1"/>
          <w:szCs w:val="21"/>
        </w:rPr>
        <w:t>》等相关流程，从各方面增加业务人员的技能和素质，提升了顾客满意率。</w:t>
      </w:r>
    </w:p>
    <w:p w14:paraId="6E029492">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公司建立顾客走访制度，及时了解顾客需求和满意情况，以提升顾客满意度。</w:t>
      </w:r>
    </w:p>
    <w:p w14:paraId="75B8893D">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公司建立及时反馈处理用户投诉意见的快速反应机制解决问题的规定。对顾客的投诉意见，2小时内做出响应和回馈；2个工作日内制定并实施临时措施；14个工作日内完成永久措施并实施。</w:t>
      </w:r>
    </w:p>
    <w:p w14:paraId="4BB4E68A">
      <w:pPr>
        <w:spacing w:line="360" w:lineRule="auto"/>
        <w:rPr>
          <w:rFonts w:cs="仿宋_GB2312" w:asciiTheme="minorEastAsia" w:hAnsiTheme="minorEastAsia" w:eastAsiaTheme="minorEastAsia"/>
          <w:b/>
          <w:color w:val="000000" w:themeColor="text1"/>
          <w:sz w:val="28"/>
          <w:szCs w:val="28"/>
        </w:rPr>
        <w:sectPr>
          <w:pgSz w:w="11906" w:h="16838"/>
          <w:pgMar w:top="1440" w:right="1406" w:bottom="1440" w:left="1463" w:header="851" w:footer="992" w:gutter="0"/>
          <w:cols w:space="425" w:num="1"/>
          <w:docGrid w:type="lines" w:linePitch="312" w:charSpace="0"/>
        </w:sectPr>
      </w:pPr>
      <w:bookmarkStart w:id="22" w:name="_Toc451594569"/>
    </w:p>
    <w:p w14:paraId="1A081ED7">
      <w:pPr>
        <w:spacing w:line="360" w:lineRule="auto"/>
        <w:outlineLvl w:val="0"/>
        <w:rPr>
          <w:rFonts w:cs="仿宋_GB2312" w:asciiTheme="minorEastAsia" w:hAnsiTheme="minorEastAsia" w:eastAsiaTheme="minorEastAsia"/>
          <w:b/>
          <w:color w:val="000000" w:themeColor="text1"/>
          <w:sz w:val="28"/>
          <w:szCs w:val="28"/>
        </w:rPr>
      </w:pPr>
      <w:bookmarkStart w:id="23" w:name="_Toc27215"/>
      <w:r>
        <w:rPr>
          <w:rFonts w:hint="eastAsia" w:cs="仿宋_GB2312" w:asciiTheme="minorEastAsia" w:hAnsiTheme="minorEastAsia" w:eastAsiaTheme="minorEastAsia"/>
          <w:b/>
          <w:color w:val="000000" w:themeColor="text1"/>
          <w:sz w:val="28"/>
          <w:szCs w:val="28"/>
        </w:rPr>
        <w:t>五、质量管理基础</w:t>
      </w:r>
      <w:bookmarkEnd w:id="22"/>
      <w:bookmarkEnd w:id="23"/>
    </w:p>
    <w:p w14:paraId="381B44FF">
      <w:pPr>
        <w:spacing w:line="360" w:lineRule="auto"/>
        <w:ind w:firstLine="482" w:firstLineChars="200"/>
        <w:outlineLvl w:val="1"/>
        <w:rPr>
          <w:rFonts w:cs="仿宋_GB2312" w:asciiTheme="minorEastAsia" w:hAnsiTheme="minorEastAsia" w:eastAsiaTheme="minorEastAsia"/>
          <w:b/>
          <w:bCs/>
          <w:color w:val="000000" w:themeColor="text1"/>
          <w:sz w:val="24"/>
        </w:rPr>
      </w:pPr>
      <w:bookmarkStart w:id="24" w:name="_Toc23093"/>
      <w:r>
        <w:rPr>
          <w:rFonts w:hint="eastAsia" w:cs="仿宋_GB2312" w:asciiTheme="minorEastAsia" w:hAnsiTheme="minorEastAsia" w:eastAsiaTheme="minorEastAsia"/>
          <w:b/>
          <w:bCs/>
          <w:color w:val="000000" w:themeColor="text1"/>
          <w:sz w:val="24"/>
        </w:rPr>
        <w:t>（一）标准管理</w:t>
      </w:r>
      <w:bookmarkEnd w:id="24"/>
    </w:p>
    <w:p w14:paraId="501C3E95">
      <w:pPr>
        <w:pStyle w:val="21"/>
        <w:spacing w:before="0" w:beforeAutospacing="0" w:after="0" w:afterAutospacing="0" w:line="312" w:lineRule="auto"/>
        <w:ind w:firstLine="525" w:firstLineChars="250"/>
        <w:rPr>
          <w:color w:val="777777"/>
          <w:sz w:val="21"/>
          <w:szCs w:val="21"/>
        </w:rPr>
      </w:pPr>
      <w:r>
        <w:rPr>
          <w:color w:val="000000"/>
          <w:sz w:val="21"/>
          <w:szCs w:val="21"/>
        </w:rPr>
        <w:t>公司遵照顾客要求，设计和生产制造过程中积极采用国家标准及国</w:t>
      </w:r>
      <w:r>
        <w:rPr>
          <w:rFonts w:hint="eastAsia"/>
          <w:color w:val="000000"/>
          <w:sz w:val="21"/>
          <w:szCs w:val="21"/>
        </w:rPr>
        <w:t>际</w:t>
      </w:r>
      <w:r>
        <w:rPr>
          <w:color w:val="000000"/>
          <w:sz w:val="21"/>
          <w:szCs w:val="21"/>
        </w:rPr>
        <w:t>标准，如采用国际标准化组织标准（ISO），国家标准（GB）、行业标准等，大大提高了产品的质量，促进了公司国内外市场的发展。</w:t>
      </w:r>
    </w:p>
    <w:p w14:paraId="219017A6">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公司将企业标准化贯穿于生产全过程，从原辅材料、包装材料的采购、半成品、成品检验等各个环节，均制定了相关内部标准。从而使产品从原辅材料进厂到成品出厂的整个生产过程都处于标准化规范管理之中，对稳定产品质量、提高企业管理水平奠定了良好的基础。</w:t>
      </w:r>
    </w:p>
    <w:p w14:paraId="5DEF36B2">
      <w:pPr>
        <w:spacing w:line="360" w:lineRule="auto"/>
        <w:ind w:firstLine="482" w:firstLineChars="200"/>
        <w:outlineLvl w:val="1"/>
        <w:rPr>
          <w:rFonts w:cs="仿宋_GB2312" w:asciiTheme="minorEastAsia" w:hAnsiTheme="minorEastAsia" w:eastAsiaTheme="minorEastAsia"/>
          <w:b/>
          <w:bCs/>
          <w:color w:val="000000" w:themeColor="text1"/>
          <w:sz w:val="24"/>
        </w:rPr>
      </w:pPr>
      <w:bookmarkStart w:id="25" w:name="_Toc2897"/>
      <w:r>
        <w:rPr>
          <w:rFonts w:hint="eastAsia" w:cs="仿宋_GB2312" w:asciiTheme="minorEastAsia" w:hAnsiTheme="minorEastAsia" w:eastAsiaTheme="minorEastAsia"/>
          <w:b/>
          <w:bCs/>
          <w:color w:val="000000" w:themeColor="text1"/>
          <w:sz w:val="24"/>
        </w:rPr>
        <w:t>（二）计量管理</w:t>
      </w:r>
      <w:bookmarkEnd w:id="25"/>
    </w:p>
    <w:p w14:paraId="2E7ACE29">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公司严格执行《中华人民共和国计量法》等文件法规，从原材料采购、过程管理、生产设备、检验设备、工序检验、成品检验等环节建立了一整套管理文件和控制方法，公司还通过了测量管理体系认证。公司设有专兼职计量人员负责公司的在用计量设备管理、配备和定期校检工作，注重对计量管理人员的专业培训，为公司的计量管理的规范化提供了有力的保障。</w:t>
      </w:r>
    </w:p>
    <w:p w14:paraId="7E672D82">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为确保产品质量，在产品生产工艺中严格过程控制，对生产工艺过程中的原辅材料等加强计量管理，确保计量设备的正常运行和计量的准确性。</w:t>
      </w:r>
    </w:p>
    <w:p w14:paraId="78726F43">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对计量器具从采购、入库出库严格按照审批计划和管理程序执行，仓库有专人保管计量器具，建立台帐和登记手续，计量器具的领用出库必须通过检定，有检定合格证方可投入使用；对在用的计量器具严格按周期检定，强化现场检查和监管，掌握其使用情况，发现问题及时处理；对存在问题部门提出整改意见，采取积极有效措施进行整改，为生产优质产品奠定了坚实的的计量基础。</w:t>
      </w:r>
    </w:p>
    <w:p w14:paraId="2C1ADB61">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在设计和开发阶段，就对关键特性实施测量系统分析，确保了测量结果的有效性。每种新的测量系统，都是在系统分析并满足要求后，方可投入使用。</w:t>
      </w:r>
    </w:p>
    <w:p w14:paraId="3F54E1D7">
      <w:pPr>
        <w:spacing w:line="360" w:lineRule="auto"/>
        <w:ind w:firstLine="482" w:firstLineChars="200"/>
        <w:outlineLvl w:val="1"/>
        <w:rPr>
          <w:rFonts w:cs="仿宋_GB2312" w:asciiTheme="minorEastAsia" w:hAnsiTheme="minorEastAsia" w:eastAsiaTheme="minorEastAsia"/>
          <w:b/>
          <w:bCs/>
          <w:color w:val="000000" w:themeColor="text1"/>
          <w:sz w:val="24"/>
        </w:rPr>
      </w:pPr>
      <w:bookmarkStart w:id="26" w:name="_Toc1664"/>
      <w:r>
        <w:rPr>
          <w:rFonts w:hint="eastAsia" w:cs="仿宋_GB2312" w:asciiTheme="minorEastAsia" w:hAnsiTheme="minorEastAsia" w:eastAsiaTheme="minorEastAsia"/>
          <w:b/>
          <w:bCs/>
          <w:color w:val="000000" w:themeColor="text1"/>
          <w:sz w:val="24"/>
        </w:rPr>
        <w:t>（三）认证管理</w:t>
      </w:r>
      <w:bookmarkEnd w:id="26"/>
    </w:p>
    <w:p w14:paraId="793EE3A8">
      <w:pPr>
        <w:pStyle w:val="108"/>
        <w:spacing w:beforeLines="0" w:afterLines="0" w:line="312" w:lineRule="auto"/>
        <w:ind w:firstLine="420"/>
        <w:rPr>
          <w:rFonts w:asciiTheme="minorEastAsia" w:hAnsiTheme="minorEastAsia" w:eastAsiaTheme="minorEastAsia"/>
          <w:sz w:val="21"/>
          <w:szCs w:val="21"/>
        </w:rPr>
      </w:pPr>
      <w:r>
        <w:rPr>
          <w:rFonts w:hint="eastAsia" w:asciiTheme="minorEastAsia" w:hAnsiTheme="minorEastAsia" w:eastAsiaTheme="minorEastAsia"/>
          <w:sz w:val="21"/>
          <w:szCs w:val="21"/>
        </w:rPr>
        <w:t>公司已通过质量管理体系认证、环境管理体系认证、职业健康安全管理体系认证、测量管理体系认证和知识产权管理体系认证，并开展“浙江制造”品牌认证流程，公司严格按国际标准运行改进体系，使企业产品的质量得到有力的保障，从而使企业“恪守质量第一，追求管理创新”的质量方针得以顺利推行。公司建立以来，公司从未出现过重大质量投诉，在历年接受各级质量技术部门的抽检中，合格率均达100%。</w:t>
      </w:r>
    </w:p>
    <w:p w14:paraId="23074F5D">
      <w:pPr>
        <w:rPr>
          <w:rFonts w:ascii="宋体" w:hAnsi="宋体"/>
          <w:b/>
          <w:color w:val="000000"/>
          <w:szCs w:val="21"/>
        </w:rPr>
      </w:pPr>
      <w:r>
        <w:rPr>
          <w:rFonts w:hint="eastAsia" w:ascii="宋体" w:hAnsi="宋体"/>
          <w:b/>
          <w:color w:val="000000"/>
          <w:szCs w:val="21"/>
        </w:rPr>
        <w:br w:type="page"/>
      </w:r>
    </w:p>
    <w:p w14:paraId="4A63B979">
      <w:pPr>
        <w:spacing w:before="156" w:beforeLines="50"/>
        <w:jc w:val="center"/>
        <w:rPr>
          <w:rFonts w:ascii="宋体" w:hAnsi="宋体"/>
          <w:b/>
          <w:color w:val="000000"/>
          <w:szCs w:val="21"/>
        </w:rPr>
      </w:pPr>
      <w:r>
        <w:rPr>
          <w:rFonts w:hint="eastAsia" w:ascii="宋体" w:hAnsi="宋体"/>
          <w:b/>
          <w:color w:val="000000"/>
          <w:szCs w:val="21"/>
        </w:rPr>
        <w:t>图5 质量管理体系认证证书</w:t>
      </w:r>
    </w:p>
    <w:p w14:paraId="02DD6BA4">
      <w:pPr>
        <w:spacing w:before="156" w:beforeLines="50" w:line="360" w:lineRule="auto"/>
        <w:jc w:val="center"/>
        <w:rPr>
          <w:rFonts w:ascii="宋体" w:hAnsi="宋体"/>
          <w:b/>
          <w:color w:val="000000"/>
          <w:sz w:val="24"/>
        </w:rPr>
      </w:pPr>
      <w:bookmarkStart w:id="64" w:name="_GoBack"/>
      <w:r>
        <w:drawing>
          <wp:inline distT="0" distB="0" distL="114300" distR="114300">
            <wp:extent cx="3689985" cy="5219700"/>
            <wp:effectExtent l="0" t="0" r="5715" b="0"/>
            <wp:docPr id="2" name="图片 2" descr="质量管理体系证书(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质量管理体系证书(1)_01"/>
                    <pic:cNvPicPr>
                      <a:picLocks noChangeAspect="1"/>
                    </pic:cNvPicPr>
                  </pic:nvPicPr>
                  <pic:blipFill>
                    <a:blip r:embed="rId11"/>
                    <a:stretch>
                      <a:fillRect/>
                    </a:stretch>
                  </pic:blipFill>
                  <pic:spPr>
                    <a:xfrm>
                      <a:off x="0" y="0"/>
                      <a:ext cx="3689985" cy="5219700"/>
                    </a:xfrm>
                    <a:prstGeom prst="rect">
                      <a:avLst/>
                    </a:prstGeom>
                  </pic:spPr>
                </pic:pic>
              </a:graphicData>
            </a:graphic>
          </wp:inline>
        </w:drawing>
      </w:r>
      <w:bookmarkEnd w:id="64"/>
    </w:p>
    <w:p w14:paraId="5BD9F87A">
      <w:pPr>
        <w:jc w:val="center"/>
        <w:rPr>
          <w:rFonts w:ascii="宋体" w:hAnsi="宋体" w:cs="宋体"/>
          <w:color w:val="000000"/>
          <w:kern w:val="0"/>
          <w:sz w:val="24"/>
        </w:rPr>
      </w:pPr>
      <w:bookmarkStart w:id="27" w:name="_Toc30368"/>
      <w:r>
        <w:rPr>
          <w:rFonts w:hint="eastAsia" w:ascii="宋体" w:hAnsi="宋体" w:cs="宋体"/>
          <w:b/>
          <w:bCs/>
          <w:color w:val="000000"/>
          <w:kern w:val="0"/>
          <w:szCs w:val="21"/>
        </w:rPr>
        <w:t>图6  质量</w:t>
      </w:r>
      <w:r>
        <w:rPr>
          <w:rFonts w:hint="eastAsia" w:ascii="宋体" w:hAnsi="宋体"/>
          <w:b/>
          <w:bCs/>
          <w:color w:val="000000"/>
          <w:szCs w:val="21"/>
        </w:rPr>
        <w:t>荣誉证书</w:t>
      </w:r>
    </w:p>
    <w:p w14:paraId="2B228458">
      <w:pPr>
        <w:tabs>
          <w:tab w:val="left" w:pos="709"/>
        </w:tabs>
        <w:spacing w:line="300" w:lineRule="auto"/>
        <w:jc w:val="center"/>
        <w:rPr>
          <w:rFonts w:ascii="宋体" w:hAnsi="宋体" w:cs="宋体"/>
          <w:b/>
          <w:bCs/>
          <w:sz w:val="36"/>
          <w:szCs w:val="36"/>
        </w:rPr>
      </w:pPr>
      <w:r>
        <w:rPr>
          <w:rFonts w:hint="eastAsia" w:ascii="宋体" w:hAnsi="宋体" w:cs="宋体"/>
          <w:b/>
          <w:bCs/>
          <w:sz w:val="36"/>
          <w:szCs w:val="36"/>
        </w:rPr>
        <w:drawing>
          <wp:inline distT="0" distB="0" distL="0" distR="0">
            <wp:extent cx="1839595" cy="2757170"/>
            <wp:effectExtent l="457200" t="0" r="446405" b="0"/>
            <wp:docPr id="13" name="图片 13" descr="E:\资料\1.公司资质证明\1.16全国质量稳定信誉保证企业.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E:\资料\1.公司资质证明\1.16全国质量稳定信誉保证企业.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rot="5400000">
                      <a:off x="0" y="0"/>
                      <a:ext cx="1839968" cy="2757663"/>
                    </a:xfrm>
                    <a:prstGeom prst="rect">
                      <a:avLst/>
                    </a:prstGeom>
                    <a:noFill/>
                    <a:ln>
                      <a:noFill/>
                    </a:ln>
                    <a:effectLst/>
                  </pic:spPr>
                </pic:pic>
              </a:graphicData>
            </a:graphic>
          </wp:inline>
        </w:drawing>
      </w:r>
      <w:r>
        <w:rPr>
          <w:rFonts w:hint="eastAsia" w:ascii="宋体" w:hAnsi="宋体" w:cs="宋体"/>
          <w:b/>
          <w:bCs/>
          <w:sz w:val="36"/>
          <w:szCs w:val="36"/>
        </w:rPr>
        <w:drawing>
          <wp:inline distT="0" distB="0" distL="0" distR="0">
            <wp:extent cx="1795780" cy="2757170"/>
            <wp:effectExtent l="476250" t="0" r="471170" b="0"/>
            <wp:docPr id="12" name="图片 12" descr="E:\资料\1.公司资质证明\1.17国家检测连续达标产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资料\1.公司资质证明\1.17国家检测连续达标产品.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rot="5400000">
                      <a:off x="0" y="0"/>
                      <a:ext cx="1795780" cy="2757170"/>
                    </a:xfrm>
                    <a:prstGeom prst="rect">
                      <a:avLst/>
                    </a:prstGeom>
                    <a:noFill/>
                    <a:ln>
                      <a:noFill/>
                    </a:ln>
                  </pic:spPr>
                </pic:pic>
              </a:graphicData>
            </a:graphic>
          </wp:inline>
        </w:drawing>
      </w:r>
      <w:r>
        <w:drawing>
          <wp:inline distT="0" distB="0" distL="0" distR="0">
            <wp:extent cx="4476750" cy="6331585"/>
            <wp:effectExtent l="0" t="0" r="0" b="0"/>
            <wp:docPr id="14" name="图片 14" descr="c8d329eef4843b81e27f463cd3890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c8d329eef4843b81e27f463cd3890ab"/>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4477542" cy="6332153"/>
                    </a:xfrm>
                    <a:prstGeom prst="rect">
                      <a:avLst/>
                    </a:prstGeom>
                    <a:noFill/>
                    <a:ln>
                      <a:noFill/>
                    </a:ln>
                  </pic:spPr>
                </pic:pic>
              </a:graphicData>
            </a:graphic>
          </wp:inline>
        </w:drawing>
      </w:r>
    </w:p>
    <w:p w14:paraId="634AC7AB">
      <w:pPr>
        <w:spacing w:before="156" w:beforeLines="50" w:line="360" w:lineRule="auto"/>
        <w:ind w:firstLine="482" w:firstLineChars="200"/>
        <w:outlineLvl w:val="1"/>
        <w:rPr>
          <w:rFonts w:cs="仿宋_GB2312" w:asciiTheme="minorEastAsia" w:hAnsiTheme="minorEastAsia" w:eastAsiaTheme="minorEastAsia"/>
          <w:b/>
          <w:bCs/>
          <w:color w:val="000000" w:themeColor="text1"/>
          <w:sz w:val="24"/>
        </w:rPr>
      </w:pPr>
      <w:r>
        <w:rPr>
          <w:rFonts w:hint="eastAsia" w:cs="仿宋_GB2312" w:asciiTheme="minorEastAsia" w:hAnsiTheme="minorEastAsia" w:eastAsiaTheme="minorEastAsia"/>
          <w:b/>
          <w:bCs/>
          <w:color w:val="000000" w:themeColor="text1"/>
          <w:sz w:val="24"/>
        </w:rPr>
        <w:t>（四）检验检测管理</w:t>
      </w:r>
      <w:bookmarkEnd w:id="27"/>
    </w:p>
    <w:p w14:paraId="015209C2">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公司通过对进货的检验与试验，以保证采购部提供的物资符合规定的要求。质检部负责编制进货检验与试验规程，负责物资进货的抽检；采购部负责不合格物资，材料处理；仓库物流部门负责点收物资的进货数量、名称和重量和系统及账务等。</w:t>
      </w:r>
    </w:p>
    <w:p w14:paraId="72D3CF32">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为保证所有产品在生产过程中都通过规定的检验后才能进入下一道工序，公司制定《不合格输出控制程序》、《</w:t>
      </w:r>
      <w:r>
        <w:rPr>
          <w:rFonts w:hint="eastAsia"/>
          <w:szCs w:val="21"/>
        </w:rPr>
        <w:t>检验规范</w:t>
      </w:r>
      <w:r>
        <w:rPr>
          <w:rFonts w:hint="eastAsia" w:cs="仿宋_GB2312" w:asciiTheme="minorEastAsia" w:hAnsiTheme="minorEastAsia" w:eastAsiaTheme="minorEastAsia"/>
          <w:color w:val="000000" w:themeColor="text1"/>
          <w:szCs w:val="21"/>
        </w:rPr>
        <w:t>》开展严格的过程检验和试验。品质部负责制订过程及最终检验和试验规程，设立最终检验的检验点，并负责组织过程检验工作；质检员负责检验点的检查、半成品、成品的检验；各生产操作工负责自检、互检工作。公司配备了先进的检测设备，见下表：</w:t>
      </w:r>
    </w:p>
    <w:p w14:paraId="269CA001">
      <w:pPr>
        <w:pStyle w:val="64"/>
        <w:spacing w:before="93" w:afterLines="0"/>
        <w:rPr>
          <w:rFonts w:ascii="宋体" w:hAnsi="宋体"/>
          <w:bCs/>
          <w:szCs w:val="21"/>
        </w:rPr>
      </w:pPr>
      <w:r>
        <w:rPr>
          <w:rFonts w:hint="eastAsia" w:ascii="宋体" w:hAnsi="宋体"/>
          <w:bCs/>
          <w:szCs w:val="21"/>
        </w:rPr>
        <w:t>图表7 先进测量设备举例</w:t>
      </w:r>
    </w:p>
    <w:tbl>
      <w:tblPr>
        <w:tblStyle w:val="24"/>
        <w:tblW w:w="9016"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768"/>
        <w:gridCol w:w="3179"/>
        <w:gridCol w:w="3487"/>
        <w:gridCol w:w="1582"/>
      </w:tblGrid>
      <w:tr w14:paraId="4D16C9E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68" w:hRule="atLeast"/>
          <w:jc w:val="center"/>
        </w:trPr>
        <w:tc>
          <w:tcPr>
            <w:tcW w:w="768" w:type="dxa"/>
            <w:shd w:val="clear" w:color="auto" w:fill="DBE5F1"/>
            <w:vAlign w:val="center"/>
          </w:tcPr>
          <w:p w14:paraId="7DA7AFBA">
            <w:pPr>
              <w:pStyle w:val="107"/>
              <w:rPr>
                <w:rFonts w:ascii="宋体" w:hAnsi="宋体" w:eastAsia="宋体"/>
                <w:b/>
                <w:bCs/>
                <w:szCs w:val="21"/>
              </w:rPr>
            </w:pPr>
            <w:r>
              <w:rPr>
                <w:rFonts w:hint="eastAsia" w:ascii="宋体" w:hAnsi="宋体" w:eastAsia="宋体"/>
                <w:b/>
                <w:bCs/>
                <w:szCs w:val="21"/>
              </w:rPr>
              <w:t>序号</w:t>
            </w:r>
          </w:p>
        </w:tc>
        <w:tc>
          <w:tcPr>
            <w:tcW w:w="3179" w:type="dxa"/>
            <w:shd w:val="clear" w:color="auto" w:fill="DBE5F1"/>
            <w:vAlign w:val="center"/>
          </w:tcPr>
          <w:p w14:paraId="582779F9">
            <w:pPr>
              <w:pStyle w:val="107"/>
              <w:rPr>
                <w:rFonts w:ascii="宋体" w:hAnsi="宋体" w:eastAsia="宋体"/>
                <w:b/>
                <w:bCs/>
                <w:szCs w:val="21"/>
              </w:rPr>
            </w:pPr>
            <w:r>
              <w:rPr>
                <w:rFonts w:hint="eastAsia" w:ascii="宋体" w:hAnsi="宋体" w:eastAsia="宋体"/>
                <w:b/>
                <w:bCs/>
                <w:szCs w:val="21"/>
              </w:rPr>
              <w:t>仪器名称及型号</w:t>
            </w:r>
          </w:p>
        </w:tc>
        <w:tc>
          <w:tcPr>
            <w:tcW w:w="3487" w:type="dxa"/>
            <w:shd w:val="clear" w:color="auto" w:fill="DBE5F1"/>
            <w:vAlign w:val="center"/>
          </w:tcPr>
          <w:p w14:paraId="7897C234">
            <w:pPr>
              <w:pStyle w:val="107"/>
              <w:rPr>
                <w:rFonts w:ascii="宋体" w:hAnsi="宋体" w:eastAsia="宋体"/>
                <w:b/>
                <w:bCs/>
                <w:szCs w:val="21"/>
              </w:rPr>
            </w:pPr>
            <w:r>
              <w:rPr>
                <w:rFonts w:hint="eastAsia" w:ascii="宋体" w:hAnsi="宋体" w:eastAsia="宋体"/>
                <w:b/>
                <w:bCs/>
                <w:szCs w:val="21"/>
              </w:rPr>
              <w:t>检测项目</w:t>
            </w:r>
          </w:p>
        </w:tc>
        <w:tc>
          <w:tcPr>
            <w:tcW w:w="1582" w:type="dxa"/>
            <w:shd w:val="clear" w:color="auto" w:fill="DBE5F1"/>
            <w:vAlign w:val="center"/>
          </w:tcPr>
          <w:p w14:paraId="6E18693F">
            <w:pPr>
              <w:pStyle w:val="107"/>
              <w:rPr>
                <w:rFonts w:ascii="宋体" w:hAnsi="宋体" w:eastAsia="宋体"/>
                <w:b/>
                <w:bCs/>
                <w:szCs w:val="21"/>
              </w:rPr>
            </w:pPr>
            <w:r>
              <w:rPr>
                <w:rFonts w:hint="eastAsia" w:ascii="宋体" w:hAnsi="宋体" w:eastAsia="宋体"/>
                <w:b/>
                <w:bCs/>
                <w:szCs w:val="21"/>
              </w:rPr>
              <w:t>先进水平</w:t>
            </w:r>
          </w:p>
        </w:tc>
      </w:tr>
      <w:tr w14:paraId="278B3F2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768" w:type="dxa"/>
            <w:vAlign w:val="center"/>
          </w:tcPr>
          <w:p w14:paraId="2C4C4E2F">
            <w:pPr>
              <w:pStyle w:val="112"/>
              <w:jc w:val="center"/>
              <w:rPr>
                <w:rFonts w:ascii="宋体" w:hAnsi="宋体"/>
                <w:color w:val="auto"/>
              </w:rPr>
            </w:pPr>
            <w:r>
              <w:rPr>
                <w:rFonts w:hint="eastAsia" w:ascii="宋体" w:hAnsi="宋体"/>
                <w:color w:val="auto"/>
              </w:rPr>
              <w:t>1</w:t>
            </w:r>
          </w:p>
        </w:tc>
        <w:tc>
          <w:tcPr>
            <w:tcW w:w="3179" w:type="dxa"/>
            <w:vAlign w:val="center"/>
          </w:tcPr>
          <w:p w14:paraId="6BF11991">
            <w:pPr>
              <w:pStyle w:val="112"/>
              <w:rPr>
                <w:rFonts w:ascii="宋体" w:hAnsi="宋体"/>
                <w:color w:val="auto"/>
              </w:rPr>
            </w:pPr>
            <w:r>
              <w:rPr>
                <w:rFonts w:hint="eastAsia" w:ascii="宋体" w:hAnsi="宋体"/>
                <w:color w:val="auto"/>
              </w:rPr>
              <w:t>交联电缆在线检查仪</w:t>
            </w:r>
          </w:p>
        </w:tc>
        <w:tc>
          <w:tcPr>
            <w:tcW w:w="3487" w:type="dxa"/>
            <w:vAlign w:val="center"/>
          </w:tcPr>
          <w:p w14:paraId="1D410807">
            <w:pPr>
              <w:pStyle w:val="112"/>
              <w:rPr>
                <w:rFonts w:ascii="宋体" w:hAnsi="宋体"/>
                <w:color w:val="auto"/>
              </w:rPr>
            </w:pPr>
            <w:r>
              <w:rPr>
                <w:rFonts w:hint="eastAsia" w:ascii="宋体" w:hAnsi="宋体"/>
                <w:color w:val="auto"/>
              </w:rPr>
              <w:t>在线检测导体屏蔽、绝缘厚度和绝缘屏蔽的厚度</w:t>
            </w:r>
          </w:p>
        </w:tc>
        <w:tc>
          <w:tcPr>
            <w:tcW w:w="1582" w:type="dxa"/>
            <w:vAlign w:val="center"/>
          </w:tcPr>
          <w:p w14:paraId="6E6EF7AC">
            <w:pPr>
              <w:pStyle w:val="112"/>
              <w:jc w:val="center"/>
              <w:rPr>
                <w:rFonts w:ascii="宋体" w:hAnsi="宋体"/>
                <w:color w:val="auto"/>
              </w:rPr>
            </w:pPr>
            <w:r>
              <w:rPr>
                <w:rFonts w:hint="eastAsia" w:ascii="宋体" w:hAnsi="宋体"/>
                <w:color w:val="auto"/>
              </w:rPr>
              <w:t>国际领先</w:t>
            </w:r>
          </w:p>
        </w:tc>
      </w:tr>
      <w:tr w14:paraId="1C5C78F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768" w:type="dxa"/>
            <w:vAlign w:val="center"/>
          </w:tcPr>
          <w:p w14:paraId="34D84B87">
            <w:pPr>
              <w:pStyle w:val="112"/>
              <w:jc w:val="center"/>
              <w:rPr>
                <w:rFonts w:ascii="宋体" w:hAnsi="宋体"/>
                <w:color w:val="auto"/>
              </w:rPr>
            </w:pPr>
            <w:r>
              <w:rPr>
                <w:rFonts w:hint="eastAsia" w:ascii="宋体" w:hAnsi="宋体"/>
                <w:color w:val="auto"/>
              </w:rPr>
              <w:t>2</w:t>
            </w:r>
          </w:p>
        </w:tc>
        <w:tc>
          <w:tcPr>
            <w:tcW w:w="3179" w:type="dxa"/>
            <w:vAlign w:val="center"/>
          </w:tcPr>
          <w:p w14:paraId="64116D13">
            <w:pPr>
              <w:pStyle w:val="112"/>
              <w:rPr>
                <w:rFonts w:ascii="宋体" w:hAnsi="宋体"/>
                <w:color w:val="auto"/>
              </w:rPr>
            </w:pPr>
            <w:r>
              <w:rPr>
                <w:rFonts w:hint="eastAsia" w:ascii="宋体" w:hAnsi="宋体"/>
                <w:color w:val="auto"/>
              </w:rPr>
              <w:t>局部放电检测系统</w:t>
            </w:r>
            <w:r>
              <w:rPr>
                <w:rFonts w:ascii="宋体" w:hAnsi="宋体"/>
                <w:color w:val="auto"/>
              </w:rPr>
              <w:t>JF</w:t>
            </w:r>
            <w:r>
              <w:rPr>
                <w:rFonts w:hint="eastAsia" w:ascii="宋体" w:hAnsi="宋体"/>
                <w:color w:val="auto"/>
              </w:rPr>
              <w:t>-2000</w:t>
            </w:r>
          </w:p>
        </w:tc>
        <w:tc>
          <w:tcPr>
            <w:tcW w:w="3487" w:type="dxa"/>
            <w:vAlign w:val="center"/>
          </w:tcPr>
          <w:p w14:paraId="6CDD99B4">
            <w:pPr>
              <w:pStyle w:val="112"/>
              <w:rPr>
                <w:rFonts w:ascii="宋体" w:hAnsi="宋体"/>
                <w:color w:val="auto"/>
              </w:rPr>
            </w:pPr>
            <w:r>
              <w:rPr>
                <w:rFonts w:hint="eastAsia" w:ascii="宋体" w:hAnsi="宋体"/>
                <w:color w:val="auto"/>
              </w:rPr>
              <w:t>局部放电试验和耐压试验</w:t>
            </w:r>
          </w:p>
        </w:tc>
        <w:tc>
          <w:tcPr>
            <w:tcW w:w="1582" w:type="dxa"/>
            <w:vAlign w:val="center"/>
          </w:tcPr>
          <w:p w14:paraId="08BF4B9D">
            <w:pPr>
              <w:pStyle w:val="112"/>
              <w:jc w:val="center"/>
              <w:rPr>
                <w:rFonts w:ascii="宋体" w:hAnsi="宋体"/>
                <w:color w:val="auto"/>
              </w:rPr>
            </w:pPr>
            <w:r>
              <w:rPr>
                <w:rFonts w:hint="eastAsia" w:ascii="宋体" w:hAnsi="宋体"/>
                <w:color w:val="auto"/>
              </w:rPr>
              <w:t>国内领先</w:t>
            </w:r>
          </w:p>
        </w:tc>
      </w:tr>
      <w:tr w14:paraId="449209A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768" w:type="dxa"/>
            <w:vAlign w:val="center"/>
          </w:tcPr>
          <w:p w14:paraId="15D1EB9D">
            <w:pPr>
              <w:pStyle w:val="112"/>
              <w:jc w:val="center"/>
              <w:rPr>
                <w:rFonts w:ascii="宋体" w:hAnsi="宋体"/>
                <w:color w:val="auto"/>
              </w:rPr>
            </w:pPr>
            <w:r>
              <w:rPr>
                <w:rFonts w:hint="eastAsia" w:ascii="宋体" w:hAnsi="宋体"/>
                <w:color w:val="auto"/>
              </w:rPr>
              <w:t>3</w:t>
            </w:r>
          </w:p>
        </w:tc>
        <w:tc>
          <w:tcPr>
            <w:tcW w:w="3179" w:type="dxa"/>
            <w:vAlign w:val="center"/>
          </w:tcPr>
          <w:p w14:paraId="53032B01">
            <w:pPr>
              <w:pStyle w:val="112"/>
              <w:rPr>
                <w:rFonts w:ascii="宋体" w:hAnsi="宋体"/>
                <w:color w:val="auto"/>
              </w:rPr>
            </w:pPr>
            <w:r>
              <w:rPr>
                <w:rFonts w:hint="eastAsia" w:ascii="宋体" w:hAnsi="宋体"/>
                <w:color w:val="auto"/>
              </w:rPr>
              <w:t>电子万能试验机JWL-50KN</w:t>
            </w:r>
          </w:p>
        </w:tc>
        <w:tc>
          <w:tcPr>
            <w:tcW w:w="3487" w:type="dxa"/>
            <w:vAlign w:val="center"/>
          </w:tcPr>
          <w:p w14:paraId="5444418B">
            <w:pPr>
              <w:pStyle w:val="112"/>
              <w:rPr>
                <w:rFonts w:ascii="宋体" w:hAnsi="宋体"/>
                <w:color w:val="auto"/>
              </w:rPr>
            </w:pPr>
            <w:r>
              <w:rPr>
                <w:rFonts w:hint="eastAsia" w:ascii="宋体" w:hAnsi="宋体"/>
                <w:color w:val="auto"/>
              </w:rPr>
              <w:t>金属材料拉力试验</w:t>
            </w:r>
          </w:p>
        </w:tc>
        <w:tc>
          <w:tcPr>
            <w:tcW w:w="1582" w:type="dxa"/>
            <w:vAlign w:val="center"/>
          </w:tcPr>
          <w:p w14:paraId="20930CF5">
            <w:pPr>
              <w:pStyle w:val="112"/>
              <w:jc w:val="center"/>
              <w:rPr>
                <w:rFonts w:ascii="宋体" w:hAnsi="宋体"/>
                <w:color w:val="auto"/>
              </w:rPr>
            </w:pPr>
            <w:r>
              <w:rPr>
                <w:rFonts w:hint="eastAsia" w:ascii="宋体" w:hAnsi="宋体"/>
                <w:color w:val="auto"/>
              </w:rPr>
              <w:t>行业领先</w:t>
            </w:r>
          </w:p>
        </w:tc>
      </w:tr>
      <w:tr w14:paraId="06329D6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768" w:type="dxa"/>
            <w:vAlign w:val="center"/>
          </w:tcPr>
          <w:p w14:paraId="3CB00FA9">
            <w:pPr>
              <w:pStyle w:val="112"/>
              <w:jc w:val="center"/>
              <w:rPr>
                <w:rFonts w:ascii="宋体" w:hAnsi="宋体"/>
                <w:color w:val="auto"/>
              </w:rPr>
            </w:pPr>
            <w:r>
              <w:rPr>
                <w:rFonts w:hint="eastAsia" w:ascii="宋体" w:hAnsi="宋体"/>
                <w:color w:val="auto"/>
              </w:rPr>
              <w:t>4</w:t>
            </w:r>
          </w:p>
        </w:tc>
        <w:tc>
          <w:tcPr>
            <w:tcW w:w="3179" w:type="dxa"/>
            <w:vAlign w:val="center"/>
          </w:tcPr>
          <w:p w14:paraId="43429545">
            <w:pPr>
              <w:pStyle w:val="112"/>
              <w:rPr>
                <w:rFonts w:ascii="宋体" w:hAnsi="宋体"/>
                <w:color w:val="auto"/>
              </w:rPr>
            </w:pPr>
            <w:r>
              <w:rPr>
                <w:rFonts w:hint="eastAsia" w:ascii="宋体" w:hAnsi="宋体"/>
                <w:color w:val="auto"/>
              </w:rPr>
              <w:t>电子万能试验机JWL-50KN</w:t>
            </w:r>
          </w:p>
        </w:tc>
        <w:tc>
          <w:tcPr>
            <w:tcW w:w="3487" w:type="dxa"/>
            <w:vAlign w:val="center"/>
          </w:tcPr>
          <w:p w14:paraId="0D60B2E0">
            <w:pPr>
              <w:pStyle w:val="112"/>
              <w:rPr>
                <w:rFonts w:ascii="宋体" w:hAnsi="宋体"/>
                <w:color w:val="auto"/>
              </w:rPr>
            </w:pPr>
            <w:r>
              <w:rPr>
                <w:rFonts w:hint="eastAsia" w:ascii="宋体" w:hAnsi="宋体"/>
                <w:color w:val="auto"/>
              </w:rPr>
              <w:t>非金属材料拉力试验</w:t>
            </w:r>
          </w:p>
        </w:tc>
        <w:tc>
          <w:tcPr>
            <w:tcW w:w="1582" w:type="dxa"/>
            <w:vAlign w:val="center"/>
          </w:tcPr>
          <w:p w14:paraId="474132FA">
            <w:pPr>
              <w:jc w:val="center"/>
              <w:rPr>
                <w:rFonts w:ascii="宋体" w:hAnsi="宋体"/>
                <w:szCs w:val="21"/>
              </w:rPr>
            </w:pPr>
            <w:r>
              <w:rPr>
                <w:rFonts w:hint="eastAsia" w:ascii="宋体" w:hAnsi="宋体"/>
                <w:szCs w:val="21"/>
              </w:rPr>
              <w:t>行业领先</w:t>
            </w:r>
          </w:p>
        </w:tc>
      </w:tr>
      <w:tr w14:paraId="4C52825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768" w:type="dxa"/>
            <w:vAlign w:val="center"/>
          </w:tcPr>
          <w:p w14:paraId="636C5D0B">
            <w:pPr>
              <w:pStyle w:val="112"/>
              <w:jc w:val="center"/>
              <w:rPr>
                <w:rFonts w:ascii="宋体" w:hAnsi="宋体"/>
                <w:color w:val="auto"/>
              </w:rPr>
            </w:pPr>
            <w:r>
              <w:rPr>
                <w:rFonts w:hint="eastAsia" w:ascii="宋体" w:hAnsi="宋体"/>
                <w:color w:val="auto"/>
              </w:rPr>
              <w:t>5</w:t>
            </w:r>
          </w:p>
        </w:tc>
        <w:tc>
          <w:tcPr>
            <w:tcW w:w="3179" w:type="dxa"/>
            <w:vAlign w:val="center"/>
          </w:tcPr>
          <w:p w14:paraId="0CD3E9E3">
            <w:pPr>
              <w:pStyle w:val="112"/>
              <w:rPr>
                <w:rFonts w:ascii="宋体" w:hAnsi="宋体"/>
                <w:color w:val="auto"/>
              </w:rPr>
            </w:pPr>
            <w:r>
              <w:rPr>
                <w:rFonts w:hint="eastAsia" w:ascii="宋体" w:hAnsi="宋体"/>
                <w:color w:val="auto"/>
              </w:rPr>
              <w:t>半导电屏蔽电阻测试仪BT-900A</w:t>
            </w:r>
          </w:p>
        </w:tc>
        <w:tc>
          <w:tcPr>
            <w:tcW w:w="3487" w:type="dxa"/>
            <w:vAlign w:val="center"/>
          </w:tcPr>
          <w:p w14:paraId="2CB109CA">
            <w:pPr>
              <w:pStyle w:val="112"/>
              <w:rPr>
                <w:rFonts w:ascii="宋体" w:hAnsi="宋体"/>
                <w:color w:val="auto"/>
              </w:rPr>
            </w:pPr>
            <w:r>
              <w:rPr>
                <w:rFonts w:hint="eastAsia" w:ascii="宋体" w:hAnsi="宋体"/>
                <w:color w:val="auto"/>
              </w:rPr>
              <w:t>中压电缆半导电屏蔽电阻测试</w:t>
            </w:r>
          </w:p>
        </w:tc>
        <w:tc>
          <w:tcPr>
            <w:tcW w:w="1582" w:type="dxa"/>
            <w:vAlign w:val="center"/>
          </w:tcPr>
          <w:p w14:paraId="3FAD684C">
            <w:pPr>
              <w:jc w:val="center"/>
              <w:rPr>
                <w:rFonts w:ascii="宋体" w:hAnsi="宋体"/>
                <w:szCs w:val="21"/>
              </w:rPr>
            </w:pPr>
            <w:r>
              <w:rPr>
                <w:rFonts w:hint="eastAsia" w:ascii="宋体" w:hAnsi="宋体"/>
                <w:szCs w:val="21"/>
              </w:rPr>
              <w:t>行业领先</w:t>
            </w:r>
          </w:p>
        </w:tc>
      </w:tr>
      <w:tr w14:paraId="49469D6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768" w:type="dxa"/>
            <w:vAlign w:val="center"/>
          </w:tcPr>
          <w:p w14:paraId="661A4E2B">
            <w:pPr>
              <w:pStyle w:val="112"/>
              <w:jc w:val="center"/>
              <w:rPr>
                <w:rFonts w:ascii="宋体" w:hAnsi="宋体"/>
                <w:color w:val="auto"/>
              </w:rPr>
            </w:pPr>
            <w:r>
              <w:rPr>
                <w:rFonts w:hint="eastAsia" w:ascii="宋体" w:hAnsi="宋体"/>
                <w:color w:val="auto"/>
              </w:rPr>
              <w:t>6</w:t>
            </w:r>
          </w:p>
        </w:tc>
        <w:tc>
          <w:tcPr>
            <w:tcW w:w="3179" w:type="dxa"/>
            <w:vAlign w:val="center"/>
          </w:tcPr>
          <w:p w14:paraId="13D24630">
            <w:pPr>
              <w:pStyle w:val="112"/>
              <w:rPr>
                <w:rFonts w:ascii="宋体" w:hAnsi="宋体"/>
                <w:color w:val="auto"/>
              </w:rPr>
            </w:pPr>
            <w:r>
              <w:rPr>
                <w:rFonts w:hint="eastAsia" w:ascii="宋体" w:hAnsi="宋体"/>
                <w:color w:val="auto"/>
              </w:rPr>
              <w:t>投影仪JT300S1505</w:t>
            </w:r>
          </w:p>
        </w:tc>
        <w:tc>
          <w:tcPr>
            <w:tcW w:w="3487" w:type="dxa"/>
            <w:vAlign w:val="center"/>
          </w:tcPr>
          <w:p w14:paraId="05ABAA52">
            <w:pPr>
              <w:pStyle w:val="112"/>
              <w:rPr>
                <w:rFonts w:ascii="宋体" w:hAnsi="宋体"/>
                <w:color w:val="auto"/>
              </w:rPr>
            </w:pPr>
            <w:r>
              <w:rPr>
                <w:rFonts w:hint="eastAsia" w:ascii="宋体" w:hAnsi="宋体"/>
                <w:color w:val="auto"/>
              </w:rPr>
              <w:t>结构尺寸的测量</w:t>
            </w:r>
          </w:p>
        </w:tc>
        <w:tc>
          <w:tcPr>
            <w:tcW w:w="1582" w:type="dxa"/>
            <w:vAlign w:val="center"/>
          </w:tcPr>
          <w:p w14:paraId="45CEDCE6">
            <w:pPr>
              <w:pStyle w:val="112"/>
              <w:jc w:val="center"/>
              <w:rPr>
                <w:rFonts w:ascii="宋体" w:hAnsi="宋体"/>
                <w:color w:val="auto"/>
              </w:rPr>
            </w:pPr>
            <w:r>
              <w:rPr>
                <w:rFonts w:hint="eastAsia" w:ascii="宋体" w:hAnsi="宋体"/>
                <w:color w:val="auto"/>
              </w:rPr>
              <w:t>行业领先</w:t>
            </w:r>
          </w:p>
        </w:tc>
      </w:tr>
      <w:tr w14:paraId="1C97681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768" w:type="dxa"/>
            <w:vAlign w:val="center"/>
          </w:tcPr>
          <w:p w14:paraId="0D1AF681">
            <w:pPr>
              <w:pStyle w:val="112"/>
              <w:jc w:val="center"/>
              <w:rPr>
                <w:rFonts w:ascii="宋体" w:hAnsi="宋体"/>
                <w:color w:val="auto"/>
                <w:sz w:val="24"/>
                <w:szCs w:val="24"/>
              </w:rPr>
            </w:pPr>
            <w:r>
              <w:rPr>
                <w:rFonts w:hint="eastAsia" w:ascii="宋体" w:hAnsi="宋体"/>
                <w:color w:val="auto"/>
                <w:sz w:val="24"/>
                <w:szCs w:val="24"/>
              </w:rPr>
              <w:t>7</w:t>
            </w:r>
          </w:p>
        </w:tc>
        <w:tc>
          <w:tcPr>
            <w:tcW w:w="3179" w:type="dxa"/>
            <w:vAlign w:val="center"/>
          </w:tcPr>
          <w:p w14:paraId="27A35350">
            <w:pPr>
              <w:pStyle w:val="112"/>
              <w:rPr>
                <w:rFonts w:ascii="宋体" w:hAnsi="宋体"/>
                <w:color w:val="auto"/>
              </w:rPr>
            </w:pPr>
            <w:r>
              <w:rPr>
                <w:rFonts w:hint="eastAsia" w:ascii="宋体" w:hAnsi="宋体"/>
                <w:color w:val="auto"/>
              </w:rPr>
              <w:t>电线电缆耐火耐冲击试验装置</w:t>
            </w:r>
          </w:p>
        </w:tc>
        <w:tc>
          <w:tcPr>
            <w:tcW w:w="3487" w:type="dxa"/>
            <w:vAlign w:val="center"/>
          </w:tcPr>
          <w:p w14:paraId="2FD88BF6">
            <w:pPr>
              <w:widowControl/>
              <w:jc w:val="left"/>
              <w:rPr>
                <w:rFonts w:ascii="宋体" w:hAnsi="宋体"/>
                <w:color w:val="000000"/>
                <w:szCs w:val="21"/>
              </w:rPr>
            </w:pPr>
            <w:r>
              <w:rPr>
                <w:rFonts w:hint="eastAsia" w:ascii="宋体" w:hAnsi="宋体"/>
                <w:szCs w:val="21"/>
              </w:rPr>
              <w:t>耐火、耐冲击、耐冲水试验</w:t>
            </w:r>
          </w:p>
        </w:tc>
        <w:tc>
          <w:tcPr>
            <w:tcW w:w="1582" w:type="dxa"/>
            <w:vAlign w:val="center"/>
          </w:tcPr>
          <w:p w14:paraId="56463D78">
            <w:pPr>
              <w:pStyle w:val="112"/>
              <w:jc w:val="center"/>
              <w:rPr>
                <w:rFonts w:ascii="宋体" w:hAnsi="宋体"/>
                <w:color w:val="auto"/>
              </w:rPr>
            </w:pPr>
            <w:r>
              <w:rPr>
                <w:rFonts w:hint="eastAsia" w:ascii="宋体" w:hAnsi="宋体"/>
                <w:color w:val="auto"/>
              </w:rPr>
              <w:t>行业领先</w:t>
            </w:r>
          </w:p>
        </w:tc>
      </w:tr>
    </w:tbl>
    <w:p w14:paraId="16C73E8F">
      <w:pPr>
        <w:spacing w:line="360" w:lineRule="auto"/>
        <w:rPr>
          <w:rFonts w:cs="仿宋_GB2312" w:asciiTheme="minorEastAsia" w:hAnsiTheme="minorEastAsia" w:eastAsiaTheme="minorEastAsia"/>
          <w:b/>
          <w:color w:val="000000" w:themeColor="text1"/>
          <w:sz w:val="24"/>
        </w:rPr>
        <w:sectPr>
          <w:pgSz w:w="11906" w:h="16838"/>
          <w:pgMar w:top="1440" w:right="1406" w:bottom="1440" w:left="1463" w:header="851" w:footer="992" w:gutter="0"/>
          <w:cols w:space="425" w:num="1"/>
          <w:docGrid w:type="lines" w:linePitch="312" w:charSpace="0"/>
        </w:sectPr>
      </w:pPr>
      <w:bookmarkStart w:id="28" w:name="_Toc451594570"/>
    </w:p>
    <w:p w14:paraId="3E43FEDA">
      <w:pPr>
        <w:spacing w:line="360" w:lineRule="auto"/>
        <w:outlineLvl w:val="0"/>
        <w:rPr>
          <w:rFonts w:cs="仿宋_GB2312" w:asciiTheme="minorEastAsia" w:hAnsiTheme="minorEastAsia" w:eastAsiaTheme="minorEastAsia"/>
          <w:b/>
          <w:color w:val="000000" w:themeColor="text1"/>
          <w:sz w:val="24"/>
        </w:rPr>
      </w:pPr>
      <w:bookmarkStart w:id="29" w:name="_Toc6573"/>
      <w:r>
        <w:rPr>
          <w:rFonts w:hint="eastAsia" w:cs="仿宋_GB2312" w:asciiTheme="minorEastAsia" w:hAnsiTheme="minorEastAsia" w:eastAsiaTheme="minorEastAsia"/>
          <w:b/>
          <w:color w:val="000000" w:themeColor="text1"/>
          <w:sz w:val="24"/>
        </w:rPr>
        <w:t>六、产品质量责任</w:t>
      </w:r>
      <w:bookmarkEnd w:id="28"/>
      <w:bookmarkEnd w:id="29"/>
    </w:p>
    <w:p w14:paraId="119AB210">
      <w:pPr>
        <w:spacing w:line="360" w:lineRule="auto"/>
        <w:ind w:firstLine="482" w:firstLineChars="200"/>
        <w:outlineLvl w:val="1"/>
        <w:rPr>
          <w:rFonts w:cs="仿宋_GB2312" w:asciiTheme="minorEastAsia" w:hAnsiTheme="minorEastAsia" w:eastAsiaTheme="minorEastAsia"/>
          <w:b/>
          <w:bCs/>
          <w:color w:val="000000" w:themeColor="text1"/>
          <w:sz w:val="24"/>
        </w:rPr>
      </w:pPr>
      <w:bookmarkStart w:id="30" w:name="_Toc19692"/>
      <w:r>
        <w:rPr>
          <w:rFonts w:hint="eastAsia" w:cs="仿宋_GB2312" w:asciiTheme="minorEastAsia" w:hAnsiTheme="minorEastAsia" w:eastAsiaTheme="minorEastAsia"/>
          <w:b/>
          <w:bCs/>
          <w:color w:val="000000" w:themeColor="text1"/>
          <w:sz w:val="24"/>
        </w:rPr>
        <w:t>（一）产品质量水平</w:t>
      </w:r>
      <w:bookmarkEnd w:id="30"/>
    </w:p>
    <w:p w14:paraId="2F3FBEB5">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本公司不断壮大“精干、专业、创新、高效”的设计开发团队，持续改善产品技术水平和质量性能，目前已被全球顾客和行业的认可。</w:t>
      </w:r>
    </w:p>
    <w:p w14:paraId="25263229">
      <w:pPr>
        <w:spacing w:line="312" w:lineRule="auto"/>
        <w:ind w:firstLine="420" w:firstLineChars="200"/>
        <w:rPr>
          <w:rFonts w:ascii="宋体" w:hAnsi="宋体"/>
          <w:szCs w:val="21"/>
        </w:rPr>
      </w:pPr>
      <w:r>
        <w:rPr>
          <w:rFonts w:hint="eastAsia" w:cs="仿宋_GB2312" w:asciiTheme="minorEastAsia" w:hAnsiTheme="minorEastAsia" w:eastAsiaTheme="minorEastAsia"/>
          <w:color w:val="000000" w:themeColor="text1"/>
          <w:szCs w:val="21"/>
        </w:rPr>
        <w:t>公司主导产品--，</w:t>
      </w:r>
      <w:r>
        <w:rPr>
          <w:rFonts w:hint="eastAsia" w:ascii="宋体" w:hAnsi="宋体"/>
          <w:szCs w:val="21"/>
        </w:rPr>
        <w:t>各项关键质量控制指标达到国家或行业标准。</w:t>
      </w:r>
    </w:p>
    <w:p w14:paraId="031D4288">
      <w:pPr>
        <w:spacing w:line="312" w:lineRule="auto"/>
        <w:ind w:firstLine="422" w:firstLineChars="200"/>
        <w:jc w:val="center"/>
        <w:rPr>
          <w:rFonts w:ascii="宋体" w:hAnsi="宋体"/>
          <w:b/>
          <w:bCs/>
          <w:szCs w:val="21"/>
        </w:rPr>
      </w:pPr>
      <w:r>
        <w:rPr>
          <w:rFonts w:hint="eastAsia" w:ascii="宋体" w:hAnsi="宋体"/>
          <w:b/>
          <w:bCs/>
          <w:szCs w:val="21"/>
        </w:rPr>
        <w:t>图表8 公司主导产品质量水平</w:t>
      </w:r>
    </w:p>
    <w:tbl>
      <w:tblPr>
        <w:tblStyle w:val="24"/>
        <w:tblW w:w="835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1620"/>
        <w:gridCol w:w="2354"/>
        <w:gridCol w:w="2384"/>
        <w:gridCol w:w="1997"/>
      </w:tblGrid>
      <w:tr w14:paraId="5ECCE8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1620" w:type="dxa"/>
            <w:vMerge w:val="restart"/>
            <w:tcBorders>
              <w:top w:val="single" w:color="auto" w:sz="6" w:space="0"/>
            </w:tcBorders>
            <w:shd w:val="clear" w:color="auto" w:fill="DEEBF6"/>
            <w:vAlign w:val="center"/>
          </w:tcPr>
          <w:p w14:paraId="3077DBFF">
            <w:pPr>
              <w:widowControl/>
              <w:jc w:val="center"/>
              <w:rPr>
                <w:b/>
                <w:kern w:val="0"/>
              </w:rPr>
            </w:pPr>
            <w:r>
              <w:rPr>
                <w:rFonts w:hAnsi="宋体"/>
                <w:b/>
                <w:kern w:val="0"/>
                <w:szCs w:val="21"/>
              </w:rPr>
              <w:t>产品名称</w:t>
            </w:r>
          </w:p>
        </w:tc>
        <w:tc>
          <w:tcPr>
            <w:tcW w:w="4738" w:type="dxa"/>
            <w:gridSpan w:val="2"/>
            <w:tcBorders>
              <w:top w:val="single" w:color="auto" w:sz="6" w:space="0"/>
              <w:bottom w:val="single" w:color="auto" w:sz="6" w:space="0"/>
            </w:tcBorders>
            <w:shd w:val="clear" w:color="auto" w:fill="DEEBF6"/>
            <w:vAlign w:val="center"/>
          </w:tcPr>
          <w:p w14:paraId="50391744">
            <w:pPr>
              <w:widowControl/>
              <w:jc w:val="center"/>
              <w:rPr>
                <w:b/>
                <w:kern w:val="0"/>
              </w:rPr>
            </w:pPr>
            <w:r>
              <w:rPr>
                <w:rFonts w:hAnsi="宋体"/>
                <w:b/>
                <w:kern w:val="0"/>
                <w:szCs w:val="21"/>
              </w:rPr>
              <w:t>主要质量控制指标比较</w:t>
            </w:r>
          </w:p>
        </w:tc>
        <w:tc>
          <w:tcPr>
            <w:tcW w:w="1997" w:type="dxa"/>
            <w:vMerge w:val="restart"/>
            <w:tcBorders>
              <w:top w:val="single" w:color="auto" w:sz="6" w:space="0"/>
            </w:tcBorders>
            <w:shd w:val="clear" w:color="auto" w:fill="DEEBF6"/>
            <w:vAlign w:val="center"/>
          </w:tcPr>
          <w:p w14:paraId="656C1F5F">
            <w:pPr>
              <w:widowControl/>
              <w:jc w:val="center"/>
              <w:rPr>
                <w:b/>
                <w:kern w:val="0"/>
              </w:rPr>
            </w:pPr>
            <w:r>
              <w:rPr>
                <w:rFonts w:hint="eastAsia" w:hAnsi="宋体"/>
                <w:b/>
                <w:kern w:val="0"/>
                <w:szCs w:val="21"/>
              </w:rPr>
              <w:t>公司</w:t>
            </w:r>
            <w:r>
              <w:rPr>
                <w:rFonts w:hAnsi="宋体"/>
                <w:b/>
                <w:kern w:val="0"/>
                <w:szCs w:val="21"/>
              </w:rPr>
              <w:t>技术指标</w:t>
            </w:r>
          </w:p>
        </w:tc>
      </w:tr>
      <w:tr w14:paraId="65B6BD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1620" w:type="dxa"/>
            <w:vMerge w:val="continue"/>
            <w:tcBorders>
              <w:bottom w:val="single" w:color="auto" w:sz="6" w:space="0"/>
            </w:tcBorders>
            <w:shd w:val="clear" w:color="auto" w:fill="DEEBF6"/>
            <w:vAlign w:val="center"/>
          </w:tcPr>
          <w:p w14:paraId="43BFF72F">
            <w:pPr>
              <w:widowControl/>
              <w:rPr>
                <w:b/>
                <w:kern w:val="0"/>
              </w:rPr>
            </w:pPr>
          </w:p>
        </w:tc>
        <w:tc>
          <w:tcPr>
            <w:tcW w:w="2354" w:type="dxa"/>
            <w:tcBorders>
              <w:top w:val="single" w:color="auto" w:sz="6" w:space="0"/>
              <w:bottom w:val="single" w:color="auto" w:sz="6" w:space="0"/>
            </w:tcBorders>
            <w:shd w:val="clear" w:color="auto" w:fill="DEEBF6"/>
            <w:vAlign w:val="center"/>
          </w:tcPr>
          <w:p w14:paraId="3C3C2CFE">
            <w:pPr>
              <w:widowControl/>
              <w:spacing w:before="100" w:beforeAutospacing="1" w:after="100" w:afterAutospacing="1" w:line="0" w:lineRule="atLeast"/>
              <w:jc w:val="center"/>
              <w:rPr>
                <w:b/>
                <w:kern w:val="0"/>
              </w:rPr>
            </w:pPr>
            <w:r>
              <w:rPr>
                <w:rFonts w:hAnsi="宋体"/>
                <w:b/>
                <w:kern w:val="0"/>
                <w:szCs w:val="21"/>
              </w:rPr>
              <w:t>指标名称</w:t>
            </w:r>
          </w:p>
        </w:tc>
        <w:tc>
          <w:tcPr>
            <w:tcW w:w="2384" w:type="dxa"/>
            <w:tcBorders>
              <w:top w:val="single" w:color="auto" w:sz="6" w:space="0"/>
              <w:bottom w:val="single" w:color="auto" w:sz="6" w:space="0"/>
            </w:tcBorders>
            <w:shd w:val="clear" w:color="auto" w:fill="DEEBF6"/>
            <w:vAlign w:val="center"/>
          </w:tcPr>
          <w:p w14:paraId="7004B16D">
            <w:pPr>
              <w:widowControl/>
              <w:spacing w:before="100" w:beforeAutospacing="1" w:after="100" w:afterAutospacing="1" w:line="0" w:lineRule="atLeast"/>
              <w:jc w:val="center"/>
              <w:rPr>
                <w:b/>
                <w:kern w:val="0"/>
              </w:rPr>
            </w:pPr>
            <w:r>
              <w:rPr>
                <w:rFonts w:hAnsi="宋体"/>
                <w:b/>
                <w:kern w:val="0"/>
                <w:szCs w:val="21"/>
              </w:rPr>
              <w:t>国内行业水平</w:t>
            </w:r>
          </w:p>
        </w:tc>
        <w:tc>
          <w:tcPr>
            <w:tcW w:w="1997" w:type="dxa"/>
            <w:vMerge w:val="continue"/>
            <w:tcBorders>
              <w:bottom w:val="single" w:color="auto" w:sz="6" w:space="0"/>
            </w:tcBorders>
            <w:shd w:val="clear" w:color="auto" w:fill="DBDBDB"/>
            <w:vAlign w:val="center"/>
          </w:tcPr>
          <w:p w14:paraId="5CE21BCB">
            <w:pPr>
              <w:widowControl/>
              <w:jc w:val="center"/>
              <w:rPr>
                <w:b/>
                <w:kern w:val="0"/>
              </w:rPr>
            </w:pPr>
          </w:p>
        </w:tc>
      </w:tr>
      <w:tr w14:paraId="5B25EC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0" w:hRule="atLeast"/>
          <w:jc w:val="center"/>
        </w:trPr>
        <w:tc>
          <w:tcPr>
            <w:tcW w:w="1620" w:type="dxa"/>
            <w:vMerge w:val="restart"/>
            <w:tcBorders>
              <w:top w:val="single" w:color="auto" w:sz="6" w:space="0"/>
            </w:tcBorders>
            <w:vAlign w:val="center"/>
          </w:tcPr>
          <w:p w14:paraId="1FF7621F">
            <w:pPr>
              <w:jc w:val="center"/>
              <w:rPr>
                <w:kern w:val="0"/>
                <w:szCs w:val="21"/>
              </w:rPr>
            </w:pPr>
            <w:r>
              <w:rPr>
                <w:rFonts w:hint="eastAsia"/>
                <w:kern w:val="0"/>
                <w:szCs w:val="21"/>
              </w:rPr>
              <w:t xml:space="preserve"> </w:t>
            </w:r>
            <w:r>
              <w:rPr>
                <w:rFonts w:hint="eastAsia" w:ascii="华文中宋" w:hAnsi="华文中宋" w:eastAsia="华文中宋" w:cs="华文中宋"/>
                <w:sz w:val="20"/>
                <w:szCs w:val="20"/>
              </w:rPr>
              <w:t>YJV3*240+1*120（低压0.6~1kV</w:t>
            </w:r>
          </w:p>
        </w:tc>
        <w:tc>
          <w:tcPr>
            <w:tcW w:w="2354" w:type="dxa"/>
            <w:vAlign w:val="center"/>
          </w:tcPr>
          <w:p w14:paraId="04751717">
            <w:pPr>
              <w:pStyle w:val="8"/>
              <w:ind w:firstLine="0" w:firstLineChars="0"/>
              <w:jc w:val="center"/>
              <w:rPr>
                <w:rFonts w:ascii="华文中宋" w:hAnsi="华文中宋" w:eastAsia="华文中宋" w:cs="华文中宋"/>
                <w:sz w:val="20"/>
                <w:szCs w:val="20"/>
              </w:rPr>
            </w:pPr>
            <w:r>
              <w:rPr>
                <w:rFonts w:hint="eastAsia" w:ascii="华文中宋" w:hAnsi="华文中宋" w:eastAsia="华文中宋" w:cs="华文中宋"/>
                <w:sz w:val="20"/>
                <w:szCs w:val="20"/>
              </w:rPr>
              <w:t>导体电阻</w:t>
            </w:r>
          </w:p>
        </w:tc>
        <w:tc>
          <w:tcPr>
            <w:tcW w:w="2384" w:type="dxa"/>
            <w:vAlign w:val="center"/>
          </w:tcPr>
          <w:p w14:paraId="22375FAF">
            <w:pPr>
              <w:pStyle w:val="8"/>
              <w:ind w:firstLine="0" w:firstLineChars="0"/>
              <w:jc w:val="center"/>
              <w:rPr>
                <w:rFonts w:ascii="华文中宋" w:hAnsi="华文中宋" w:eastAsia="华文中宋" w:cs="华文中宋"/>
                <w:sz w:val="20"/>
                <w:szCs w:val="20"/>
              </w:rPr>
            </w:pPr>
            <w:r>
              <w:rPr>
                <w:rFonts w:hint="eastAsia" w:ascii="华文中宋" w:hAnsi="华文中宋" w:eastAsia="华文中宋" w:cs="华文中宋"/>
                <w:sz w:val="20"/>
                <w:szCs w:val="20"/>
              </w:rPr>
              <w:t>≦0.0754Ω/㎞</w:t>
            </w:r>
          </w:p>
        </w:tc>
        <w:tc>
          <w:tcPr>
            <w:tcW w:w="1997" w:type="dxa"/>
            <w:vAlign w:val="center"/>
          </w:tcPr>
          <w:p w14:paraId="64BB9435">
            <w:pPr>
              <w:pStyle w:val="8"/>
              <w:ind w:firstLine="0" w:firstLineChars="0"/>
              <w:jc w:val="center"/>
              <w:rPr>
                <w:rFonts w:ascii="华文中宋" w:hAnsi="华文中宋" w:eastAsia="华文中宋" w:cs="华文中宋"/>
                <w:sz w:val="20"/>
                <w:szCs w:val="20"/>
              </w:rPr>
            </w:pPr>
            <w:r>
              <w:rPr>
                <w:rFonts w:hint="eastAsia" w:ascii="华文中宋" w:hAnsi="华文中宋" w:eastAsia="华文中宋" w:cs="华文中宋"/>
                <w:sz w:val="20"/>
                <w:szCs w:val="20"/>
              </w:rPr>
              <w:t>≦0.0754Ω/㎞</w:t>
            </w:r>
          </w:p>
        </w:tc>
      </w:tr>
      <w:tr w14:paraId="0BE908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0" w:hRule="atLeast"/>
          <w:jc w:val="center"/>
        </w:trPr>
        <w:tc>
          <w:tcPr>
            <w:tcW w:w="1620" w:type="dxa"/>
            <w:vMerge w:val="continue"/>
            <w:vAlign w:val="center"/>
          </w:tcPr>
          <w:p w14:paraId="0B0E8592">
            <w:pPr>
              <w:jc w:val="center"/>
              <w:rPr>
                <w:kern w:val="0"/>
                <w:szCs w:val="21"/>
              </w:rPr>
            </w:pPr>
          </w:p>
        </w:tc>
        <w:tc>
          <w:tcPr>
            <w:tcW w:w="2354" w:type="dxa"/>
            <w:vAlign w:val="center"/>
          </w:tcPr>
          <w:p w14:paraId="334640BE">
            <w:pPr>
              <w:pStyle w:val="8"/>
              <w:ind w:firstLine="0" w:firstLineChars="0"/>
              <w:jc w:val="center"/>
              <w:rPr>
                <w:rFonts w:ascii="华文中宋" w:hAnsi="华文中宋" w:eastAsia="华文中宋" w:cs="华文中宋"/>
                <w:sz w:val="20"/>
                <w:szCs w:val="20"/>
              </w:rPr>
            </w:pPr>
            <w:r>
              <w:rPr>
                <w:rFonts w:hint="eastAsia" w:ascii="华文中宋" w:hAnsi="华文中宋" w:eastAsia="华文中宋" w:cs="华文中宋"/>
                <w:sz w:val="20"/>
                <w:szCs w:val="20"/>
              </w:rPr>
              <w:t>绝缘厚度</w:t>
            </w:r>
          </w:p>
        </w:tc>
        <w:tc>
          <w:tcPr>
            <w:tcW w:w="2384" w:type="dxa"/>
            <w:vAlign w:val="center"/>
          </w:tcPr>
          <w:p w14:paraId="25413EA4">
            <w:pPr>
              <w:pStyle w:val="8"/>
              <w:ind w:firstLine="0" w:firstLineChars="0"/>
              <w:jc w:val="center"/>
              <w:rPr>
                <w:rFonts w:ascii="华文中宋" w:hAnsi="华文中宋" w:eastAsia="华文中宋" w:cs="华文中宋"/>
                <w:sz w:val="20"/>
                <w:szCs w:val="20"/>
              </w:rPr>
            </w:pPr>
            <w:r>
              <w:rPr>
                <w:rFonts w:hint="eastAsia" w:ascii="华文中宋" w:hAnsi="华文中宋" w:eastAsia="华文中宋" w:cs="华文中宋"/>
                <w:sz w:val="20"/>
                <w:szCs w:val="20"/>
              </w:rPr>
              <w:t>≥1.7mm</w:t>
            </w:r>
          </w:p>
        </w:tc>
        <w:tc>
          <w:tcPr>
            <w:tcW w:w="1997" w:type="dxa"/>
            <w:vAlign w:val="center"/>
          </w:tcPr>
          <w:p w14:paraId="0EB25292">
            <w:pPr>
              <w:pStyle w:val="8"/>
              <w:ind w:firstLine="0" w:firstLineChars="0"/>
              <w:jc w:val="center"/>
              <w:rPr>
                <w:rFonts w:ascii="华文中宋" w:hAnsi="华文中宋" w:eastAsia="华文中宋" w:cs="华文中宋"/>
                <w:sz w:val="20"/>
                <w:szCs w:val="20"/>
              </w:rPr>
            </w:pPr>
            <w:r>
              <w:rPr>
                <w:rFonts w:hint="eastAsia" w:ascii="华文中宋" w:hAnsi="华文中宋" w:eastAsia="华文中宋" w:cs="华文中宋"/>
                <w:sz w:val="20"/>
                <w:szCs w:val="20"/>
              </w:rPr>
              <w:t>≥1.7</w:t>
            </w:r>
          </w:p>
        </w:tc>
      </w:tr>
      <w:tr w14:paraId="7DCAE3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0" w:hRule="atLeast"/>
          <w:jc w:val="center"/>
        </w:trPr>
        <w:tc>
          <w:tcPr>
            <w:tcW w:w="1620" w:type="dxa"/>
            <w:vMerge w:val="continue"/>
            <w:vAlign w:val="center"/>
          </w:tcPr>
          <w:p w14:paraId="75D3B0BE">
            <w:pPr>
              <w:widowControl/>
              <w:jc w:val="center"/>
              <w:rPr>
                <w:color w:val="FF0000"/>
                <w:kern w:val="0"/>
                <w:szCs w:val="21"/>
              </w:rPr>
            </w:pPr>
          </w:p>
        </w:tc>
        <w:tc>
          <w:tcPr>
            <w:tcW w:w="2354" w:type="dxa"/>
            <w:vAlign w:val="center"/>
          </w:tcPr>
          <w:p w14:paraId="6EAC9532">
            <w:pPr>
              <w:pStyle w:val="8"/>
              <w:ind w:firstLine="0" w:firstLineChars="0"/>
              <w:jc w:val="center"/>
              <w:rPr>
                <w:rFonts w:ascii="华文中宋" w:hAnsi="华文中宋" w:eastAsia="华文中宋" w:cs="华文中宋"/>
                <w:sz w:val="20"/>
                <w:szCs w:val="20"/>
              </w:rPr>
            </w:pPr>
            <w:r>
              <w:rPr>
                <w:rFonts w:hint="eastAsia" w:ascii="华文中宋" w:hAnsi="华文中宋" w:eastAsia="华文中宋" w:cs="华文中宋"/>
                <w:sz w:val="20"/>
                <w:szCs w:val="20"/>
              </w:rPr>
              <w:t>耐压</w:t>
            </w:r>
          </w:p>
        </w:tc>
        <w:tc>
          <w:tcPr>
            <w:tcW w:w="2384" w:type="dxa"/>
            <w:vAlign w:val="center"/>
          </w:tcPr>
          <w:p w14:paraId="29FD596B">
            <w:pPr>
              <w:pStyle w:val="8"/>
              <w:ind w:firstLine="0" w:firstLineChars="0"/>
              <w:jc w:val="center"/>
              <w:rPr>
                <w:rFonts w:ascii="华文中宋" w:hAnsi="华文中宋" w:eastAsia="华文中宋" w:cs="华文中宋"/>
                <w:sz w:val="20"/>
                <w:szCs w:val="20"/>
              </w:rPr>
            </w:pPr>
            <w:r>
              <w:rPr>
                <w:rFonts w:hint="eastAsia" w:ascii="华文中宋" w:hAnsi="华文中宋" w:eastAsia="华文中宋" w:cs="华文中宋"/>
                <w:sz w:val="20"/>
                <w:szCs w:val="20"/>
              </w:rPr>
              <w:t>3.5kV5min</w:t>
            </w:r>
          </w:p>
        </w:tc>
        <w:tc>
          <w:tcPr>
            <w:tcW w:w="1997" w:type="dxa"/>
            <w:vAlign w:val="center"/>
          </w:tcPr>
          <w:p w14:paraId="1AB0EF48">
            <w:pPr>
              <w:pStyle w:val="8"/>
              <w:ind w:firstLine="0" w:firstLineChars="0"/>
              <w:jc w:val="center"/>
              <w:rPr>
                <w:rFonts w:ascii="华文中宋" w:hAnsi="华文中宋" w:eastAsia="华文中宋" w:cs="华文中宋"/>
                <w:sz w:val="20"/>
                <w:szCs w:val="20"/>
              </w:rPr>
            </w:pPr>
            <w:r>
              <w:rPr>
                <w:rFonts w:hint="eastAsia" w:ascii="华文中宋" w:hAnsi="华文中宋" w:eastAsia="华文中宋" w:cs="华文中宋"/>
                <w:sz w:val="20"/>
                <w:szCs w:val="20"/>
              </w:rPr>
              <w:t>3.5kV5min不击穿</w:t>
            </w:r>
          </w:p>
        </w:tc>
      </w:tr>
      <w:tr w14:paraId="42F487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0" w:hRule="atLeast"/>
          <w:jc w:val="center"/>
        </w:trPr>
        <w:tc>
          <w:tcPr>
            <w:tcW w:w="1620" w:type="dxa"/>
            <w:vMerge w:val="restart"/>
            <w:vAlign w:val="center"/>
          </w:tcPr>
          <w:p w14:paraId="1D8D5E0D">
            <w:pPr>
              <w:widowControl/>
              <w:jc w:val="center"/>
              <w:rPr>
                <w:color w:val="FF0000"/>
                <w:kern w:val="0"/>
                <w:szCs w:val="21"/>
              </w:rPr>
            </w:pPr>
            <w:r>
              <w:rPr>
                <w:rFonts w:hint="eastAsia" w:ascii="华文中宋" w:hAnsi="华文中宋" w:eastAsia="华文中宋" w:cs="华文中宋"/>
                <w:sz w:val="20"/>
                <w:szCs w:val="20"/>
              </w:rPr>
              <w:t>YJV3*300(中压产品26~35kV)</w:t>
            </w:r>
          </w:p>
        </w:tc>
        <w:tc>
          <w:tcPr>
            <w:tcW w:w="2354" w:type="dxa"/>
            <w:vAlign w:val="center"/>
          </w:tcPr>
          <w:p w14:paraId="4C3AA2AA">
            <w:pPr>
              <w:pStyle w:val="8"/>
              <w:ind w:firstLine="0" w:firstLineChars="0"/>
              <w:jc w:val="center"/>
              <w:rPr>
                <w:rFonts w:ascii="华文中宋" w:hAnsi="华文中宋" w:eastAsia="华文中宋" w:cs="华文中宋"/>
                <w:sz w:val="20"/>
                <w:szCs w:val="20"/>
              </w:rPr>
            </w:pPr>
            <w:r>
              <w:rPr>
                <w:rFonts w:hint="eastAsia" w:ascii="华文中宋" w:hAnsi="华文中宋" w:eastAsia="华文中宋" w:cs="华文中宋"/>
                <w:sz w:val="20"/>
                <w:szCs w:val="20"/>
              </w:rPr>
              <w:t>导体电阻</w:t>
            </w:r>
          </w:p>
        </w:tc>
        <w:tc>
          <w:tcPr>
            <w:tcW w:w="2384" w:type="dxa"/>
            <w:vAlign w:val="center"/>
          </w:tcPr>
          <w:p w14:paraId="3C422149">
            <w:pPr>
              <w:pStyle w:val="8"/>
              <w:ind w:firstLine="0" w:firstLineChars="0"/>
              <w:jc w:val="center"/>
              <w:rPr>
                <w:rFonts w:ascii="华文中宋" w:hAnsi="华文中宋" w:eastAsia="华文中宋" w:cs="华文中宋"/>
                <w:sz w:val="20"/>
                <w:szCs w:val="20"/>
              </w:rPr>
            </w:pPr>
            <w:r>
              <w:rPr>
                <w:rFonts w:hint="eastAsia" w:ascii="华文中宋" w:hAnsi="华文中宋" w:eastAsia="华文中宋" w:cs="华文中宋"/>
                <w:sz w:val="20"/>
                <w:szCs w:val="20"/>
              </w:rPr>
              <w:t>≦0.0601Ω/㎞</w:t>
            </w:r>
          </w:p>
        </w:tc>
        <w:tc>
          <w:tcPr>
            <w:tcW w:w="1997" w:type="dxa"/>
            <w:vAlign w:val="center"/>
          </w:tcPr>
          <w:p w14:paraId="39AC762F">
            <w:pPr>
              <w:pStyle w:val="8"/>
              <w:ind w:firstLine="0" w:firstLineChars="0"/>
              <w:jc w:val="center"/>
              <w:rPr>
                <w:rFonts w:ascii="华文中宋" w:hAnsi="华文中宋" w:eastAsia="华文中宋" w:cs="华文中宋"/>
                <w:sz w:val="20"/>
                <w:szCs w:val="20"/>
              </w:rPr>
            </w:pPr>
            <w:r>
              <w:rPr>
                <w:rFonts w:hint="eastAsia" w:ascii="华文中宋" w:hAnsi="华文中宋" w:eastAsia="华文中宋" w:cs="华文中宋"/>
                <w:sz w:val="20"/>
                <w:szCs w:val="20"/>
              </w:rPr>
              <w:t>≦0.0601Ω/㎞</w:t>
            </w:r>
          </w:p>
        </w:tc>
      </w:tr>
      <w:tr w14:paraId="5F20BF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0" w:hRule="atLeast"/>
          <w:jc w:val="center"/>
        </w:trPr>
        <w:tc>
          <w:tcPr>
            <w:tcW w:w="1620" w:type="dxa"/>
            <w:vMerge w:val="continue"/>
            <w:vAlign w:val="center"/>
          </w:tcPr>
          <w:p w14:paraId="441A00AF">
            <w:pPr>
              <w:widowControl/>
              <w:jc w:val="center"/>
              <w:rPr>
                <w:color w:val="FF0000"/>
                <w:kern w:val="0"/>
                <w:szCs w:val="21"/>
              </w:rPr>
            </w:pPr>
          </w:p>
        </w:tc>
        <w:tc>
          <w:tcPr>
            <w:tcW w:w="2354" w:type="dxa"/>
            <w:vAlign w:val="center"/>
          </w:tcPr>
          <w:p w14:paraId="3B820EEA">
            <w:pPr>
              <w:pStyle w:val="8"/>
              <w:ind w:firstLine="0" w:firstLineChars="0"/>
              <w:jc w:val="center"/>
              <w:rPr>
                <w:rFonts w:ascii="华文中宋" w:hAnsi="华文中宋" w:eastAsia="华文中宋" w:cs="华文中宋"/>
                <w:sz w:val="20"/>
                <w:szCs w:val="20"/>
              </w:rPr>
            </w:pPr>
            <w:r>
              <w:rPr>
                <w:rFonts w:hint="eastAsia" w:ascii="华文中宋" w:hAnsi="华文中宋" w:eastAsia="华文中宋" w:cs="华文中宋"/>
                <w:sz w:val="20"/>
                <w:szCs w:val="20"/>
              </w:rPr>
              <w:t>绝缘厚度</w:t>
            </w:r>
          </w:p>
        </w:tc>
        <w:tc>
          <w:tcPr>
            <w:tcW w:w="2384" w:type="dxa"/>
            <w:vAlign w:val="center"/>
          </w:tcPr>
          <w:p w14:paraId="4E3632B8">
            <w:pPr>
              <w:pStyle w:val="8"/>
              <w:ind w:firstLine="0" w:firstLineChars="0"/>
              <w:jc w:val="center"/>
              <w:rPr>
                <w:rFonts w:ascii="华文中宋" w:hAnsi="华文中宋" w:eastAsia="华文中宋" w:cs="华文中宋"/>
                <w:sz w:val="20"/>
                <w:szCs w:val="20"/>
              </w:rPr>
            </w:pPr>
            <w:r>
              <w:rPr>
                <w:rFonts w:hint="eastAsia" w:ascii="华文中宋" w:hAnsi="华文中宋" w:eastAsia="华文中宋" w:cs="华文中宋"/>
                <w:sz w:val="20"/>
                <w:szCs w:val="20"/>
              </w:rPr>
              <w:t>≥9.35mm</w:t>
            </w:r>
          </w:p>
        </w:tc>
        <w:tc>
          <w:tcPr>
            <w:tcW w:w="1997" w:type="dxa"/>
            <w:vAlign w:val="center"/>
          </w:tcPr>
          <w:p w14:paraId="6D83A8BD">
            <w:pPr>
              <w:pStyle w:val="8"/>
              <w:ind w:firstLine="0" w:firstLineChars="0"/>
              <w:jc w:val="center"/>
              <w:rPr>
                <w:rFonts w:ascii="华文中宋" w:hAnsi="华文中宋" w:eastAsia="华文中宋" w:cs="华文中宋"/>
                <w:sz w:val="20"/>
                <w:szCs w:val="20"/>
              </w:rPr>
            </w:pPr>
            <w:r>
              <w:rPr>
                <w:rFonts w:hint="eastAsia" w:ascii="华文中宋" w:hAnsi="华文中宋" w:eastAsia="华文中宋" w:cs="华文中宋"/>
                <w:sz w:val="20"/>
                <w:szCs w:val="20"/>
              </w:rPr>
              <w:t>≥10.60</w:t>
            </w:r>
          </w:p>
        </w:tc>
      </w:tr>
      <w:tr w14:paraId="07C10F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0" w:hRule="atLeast"/>
          <w:jc w:val="center"/>
        </w:trPr>
        <w:tc>
          <w:tcPr>
            <w:tcW w:w="1620" w:type="dxa"/>
            <w:vMerge w:val="continue"/>
            <w:tcBorders>
              <w:bottom w:val="single" w:color="auto" w:sz="12" w:space="0"/>
            </w:tcBorders>
            <w:vAlign w:val="center"/>
          </w:tcPr>
          <w:p w14:paraId="1DCEC915">
            <w:pPr>
              <w:widowControl/>
              <w:jc w:val="center"/>
              <w:rPr>
                <w:color w:val="FF0000"/>
                <w:kern w:val="0"/>
                <w:szCs w:val="21"/>
              </w:rPr>
            </w:pPr>
          </w:p>
        </w:tc>
        <w:tc>
          <w:tcPr>
            <w:tcW w:w="2354" w:type="dxa"/>
            <w:vAlign w:val="center"/>
          </w:tcPr>
          <w:p w14:paraId="12CB8604">
            <w:pPr>
              <w:pStyle w:val="8"/>
              <w:ind w:firstLine="0" w:firstLineChars="0"/>
              <w:jc w:val="center"/>
              <w:rPr>
                <w:rFonts w:ascii="华文中宋" w:hAnsi="华文中宋" w:eastAsia="华文中宋" w:cs="华文中宋"/>
                <w:sz w:val="20"/>
                <w:szCs w:val="20"/>
              </w:rPr>
            </w:pPr>
            <w:r>
              <w:rPr>
                <w:rFonts w:hint="eastAsia" w:ascii="华文中宋" w:hAnsi="华文中宋" w:eastAsia="华文中宋" w:cs="华文中宋"/>
                <w:sz w:val="20"/>
                <w:szCs w:val="20"/>
              </w:rPr>
              <w:t>耐压</w:t>
            </w:r>
          </w:p>
        </w:tc>
        <w:tc>
          <w:tcPr>
            <w:tcW w:w="2384" w:type="dxa"/>
            <w:vAlign w:val="center"/>
          </w:tcPr>
          <w:p w14:paraId="251A9175">
            <w:pPr>
              <w:pStyle w:val="8"/>
              <w:ind w:firstLine="0" w:firstLineChars="0"/>
              <w:jc w:val="center"/>
              <w:rPr>
                <w:rFonts w:ascii="华文中宋" w:hAnsi="华文中宋" w:eastAsia="华文中宋" w:cs="华文中宋"/>
                <w:sz w:val="20"/>
                <w:szCs w:val="20"/>
              </w:rPr>
            </w:pPr>
            <w:r>
              <w:rPr>
                <w:rFonts w:hint="eastAsia" w:ascii="华文中宋" w:hAnsi="华文中宋" w:eastAsia="华文中宋" w:cs="华文中宋"/>
                <w:sz w:val="20"/>
                <w:szCs w:val="20"/>
              </w:rPr>
              <w:t>91kV5min</w:t>
            </w:r>
          </w:p>
        </w:tc>
        <w:tc>
          <w:tcPr>
            <w:tcW w:w="1997" w:type="dxa"/>
            <w:vAlign w:val="center"/>
          </w:tcPr>
          <w:p w14:paraId="6FB412F0">
            <w:pPr>
              <w:pStyle w:val="8"/>
              <w:ind w:firstLine="0" w:firstLineChars="0"/>
              <w:jc w:val="center"/>
              <w:rPr>
                <w:rFonts w:ascii="华文中宋" w:hAnsi="华文中宋" w:eastAsia="华文中宋" w:cs="华文中宋"/>
                <w:sz w:val="20"/>
                <w:szCs w:val="20"/>
              </w:rPr>
            </w:pPr>
            <w:r>
              <w:rPr>
                <w:rFonts w:hint="eastAsia" w:ascii="华文中宋" w:hAnsi="华文中宋" w:eastAsia="华文中宋" w:cs="华文中宋"/>
                <w:sz w:val="20"/>
                <w:szCs w:val="20"/>
              </w:rPr>
              <w:t>65Kv30min不击穿</w:t>
            </w:r>
          </w:p>
        </w:tc>
      </w:tr>
    </w:tbl>
    <w:p w14:paraId="0C4079BC">
      <w:pPr>
        <w:spacing w:line="360" w:lineRule="auto"/>
        <w:ind w:firstLine="210" w:firstLineChars="100"/>
        <w:jc w:val="left"/>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公司产品通过PCCC产品认证。</w:t>
      </w:r>
    </w:p>
    <w:p w14:paraId="24120929">
      <w:pPr>
        <w:spacing w:line="360" w:lineRule="auto"/>
        <w:ind w:firstLine="422" w:firstLineChars="200"/>
        <w:jc w:val="center"/>
        <w:rPr>
          <w:rFonts w:cs="仿宋_GB2312" w:asciiTheme="minorEastAsia" w:hAnsiTheme="minorEastAsia" w:eastAsiaTheme="minorEastAsia"/>
          <w:b/>
          <w:bCs/>
          <w:color w:val="000000" w:themeColor="text1"/>
          <w:szCs w:val="21"/>
        </w:rPr>
      </w:pPr>
      <w:r>
        <w:rPr>
          <w:rFonts w:hint="eastAsia" w:cs="仿宋_GB2312" w:asciiTheme="minorEastAsia" w:hAnsiTheme="minorEastAsia" w:eastAsiaTheme="minorEastAsia"/>
          <w:b/>
          <w:bCs/>
          <w:color w:val="000000" w:themeColor="text1"/>
          <w:szCs w:val="21"/>
        </w:rPr>
        <w:t>图表9 产品认证证书</w:t>
      </w:r>
    </w:p>
    <w:tbl>
      <w:tblPr>
        <w:tblStyle w:val="25"/>
        <w:tblW w:w="898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491"/>
        <w:gridCol w:w="4492"/>
      </w:tblGrid>
      <w:tr w14:paraId="322FA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3" w:hRule="atLeast"/>
        </w:trPr>
        <w:tc>
          <w:tcPr>
            <w:tcW w:w="4491" w:type="dxa"/>
            <w:tcBorders>
              <w:tl2br w:val="nil"/>
              <w:tr2bl w:val="nil"/>
            </w:tcBorders>
          </w:tcPr>
          <w:p w14:paraId="38722435">
            <w:pPr>
              <w:spacing w:line="360" w:lineRule="auto"/>
              <w:jc w:val="left"/>
              <w:rPr>
                <w:rFonts w:asciiTheme="minorEastAsia" w:hAnsiTheme="minorEastAsia" w:cstheme="minorEastAsia"/>
                <w:b/>
                <w:bCs/>
                <w:sz w:val="36"/>
                <w:szCs w:val="36"/>
              </w:rPr>
            </w:pPr>
            <w:r>
              <w:rPr>
                <w:rFonts w:hint="eastAsia" w:eastAsiaTheme="minorEastAsia"/>
                <w:lang w:eastAsia="zh-CN"/>
              </w:rPr>
              <w:drawing>
                <wp:inline distT="0" distB="0" distL="114300" distR="114300">
                  <wp:extent cx="2566670" cy="3630295"/>
                  <wp:effectExtent l="0" t="0" r="8890" b="12065"/>
                  <wp:docPr id="15" name="图片 15" descr="773d7aade6531ec8582328f91f220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773d7aade6531ec8582328f91f2205f"/>
                          <pic:cNvPicPr>
                            <a:picLocks noChangeAspect="1"/>
                          </pic:cNvPicPr>
                        </pic:nvPicPr>
                        <pic:blipFill>
                          <a:blip r:embed="rId15"/>
                          <a:stretch>
                            <a:fillRect/>
                          </a:stretch>
                        </pic:blipFill>
                        <pic:spPr>
                          <a:xfrm>
                            <a:off x="0" y="0"/>
                            <a:ext cx="2566670" cy="3630295"/>
                          </a:xfrm>
                          <a:prstGeom prst="rect">
                            <a:avLst/>
                          </a:prstGeom>
                        </pic:spPr>
                      </pic:pic>
                    </a:graphicData>
                  </a:graphic>
                </wp:inline>
              </w:drawing>
            </w:r>
            <w:r>
              <w:rPr>
                <w:rFonts w:hint="eastAsia" w:eastAsiaTheme="minorEastAsia"/>
                <w:lang w:eastAsia="zh-CN"/>
              </w:rPr>
              <w:drawing>
                <wp:inline distT="0" distB="0" distL="114300" distR="114300">
                  <wp:extent cx="2672715" cy="3780790"/>
                  <wp:effectExtent l="0" t="0" r="9525" b="13970"/>
                  <wp:docPr id="17" name="图片 17" descr="45643fb7ad7de4e71fecfa6b76c16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45643fb7ad7de4e71fecfa6b76c161e"/>
                          <pic:cNvPicPr>
                            <a:picLocks noChangeAspect="1"/>
                          </pic:cNvPicPr>
                        </pic:nvPicPr>
                        <pic:blipFill>
                          <a:blip r:embed="rId16"/>
                          <a:stretch>
                            <a:fillRect/>
                          </a:stretch>
                        </pic:blipFill>
                        <pic:spPr>
                          <a:xfrm>
                            <a:off x="0" y="0"/>
                            <a:ext cx="2672715" cy="3780790"/>
                          </a:xfrm>
                          <a:prstGeom prst="rect">
                            <a:avLst/>
                          </a:prstGeom>
                        </pic:spPr>
                      </pic:pic>
                    </a:graphicData>
                  </a:graphic>
                </wp:inline>
              </w:drawing>
            </w:r>
            <w:r>
              <w:rPr>
                <w:rFonts w:hint="eastAsia" w:eastAsiaTheme="minorEastAsia"/>
                <w:lang w:eastAsia="zh-CN"/>
              </w:rPr>
              <w:drawing>
                <wp:inline distT="0" distB="0" distL="114300" distR="114300">
                  <wp:extent cx="2766060" cy="3912870"/>
                  <wp:effectExtent l="0" t="0" r="7620" b="3810"/>
                  <wp:docPr id="19" name="图片 19" descr="5229d0a80a9fc9e30d6874d44e205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5229d0a80a9fc9e30d6874d44e2056c"/>
                          <pic:cNvPicPr>
                            <a:picLocks noChangeAspect="1"/>
                          </pic:cNvPicPr>
                        </pic:nvPicPr>
                        <pic:blipFill>
                          <a:blip r:embed="rId17"/>
                          <a:stretch>
                            <a:fillRect/>
                          </a:stretch>
                        </pic:blipFill>
                        <pic:spPr>
                          <a:xfrm>
                            <a:off x="0" y="0"/>
                            <a:ext cx="2766060" cy="3912870"/>
                          </a:xfrm>
                          <a:prstGeom prst="rect">
                            <a:avLst/>
                          </a:prstGeom>
                        </pic:spPr>
                      </pic:pic>
                    </a:graphicData>
                  </a:graphic>
                </wp:inline>
              </w:drawing>
            </w:r>
            <w:r>
              <w:rPr>
                <w:rFonts w:hint="eastAsia" w:eastAsiaTheme="minorEastAsia"/>
                <w:lang w:eastAsia="zh-CN"/>
              </w:rPr>
              <w:drawing>
                <wp:inline distT="0" distB="0" distL="114300" distR="114300">
                  <wp:extent cx="2559685" cy="3621405"/>
                  <wp:effectExtent l="0" t="0" r="635" b="5715"/>
                  <wp:docPr id="21" name="图片 21" descr="2ff37a5e838cd2e933070c359f05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2ff37a5e838cd2e933070c359f05395"/>
                          <pic:cNvPicPr>
                            <a:picLocks noChangeAspect="1"/>
                          </pic:cNvPicPr>
                        </pic:nvPicPr>
                        <pic:blipFill>
                          <a:blip r:embed="rId18"/>
                          <a:stretch>
                            <a:fillRect/>
                          </a:stretch>
                        </pic:blipFill>
                        <pic:spPr>
                          <a:xfrm>
                            <a:off x="0" y="0"/>
                            <a:ext cx="2559685" cy="3621405"/>
                          </a:xfrm>
                          <a:prstGeom prst="rect">
                            <a:avLst/>
                          </a:prstGeom>
                        </pic:spPr>
                      </pic:pic>
                    </a:graphicData>
                  </a:graphic>
                </wp:inline>
              </w:drawing>
            </w:r>
          </w:p>
        </w:tc>
        <w:tc>
          <w:tcPr>
            <w:tcW w:w="4492" w:type="dxa"/>
            <w:tcBorders>
              <w:tl2br w:val="nil"/>
              <w:tr2bl w:val="nil"/>
            </w:tcBorders>
          </w:tcPr>
          <w:p w14:paraId="49C4D337">
            <w:pPr>
              <w:spacing w:line="360" w:lineRule="auto"/>
              <w:jc w:val="left"/>
              <w:rPr>
                <w:rFonts w:asciiTheme="minorEastAsia" w:hAnsiTheme="minorEastAsia" w:cstheme="minorEastAsia"/>
                <w:b/>
                <w:bCs/>
                <w:sz w:val="36"/>
                <w:szCs w:val="36"/>
              </w:rPr>
            </w:pPr>
            <w:r>
              <w:rPr>
                <w:rFonts w:hint="eastAsia" w:eastAsiaTheme="minorEastAsia"/>
                <w:lang w:eastAsia="zh-CN"/>
              </w:rPr>
              <w:drawing>
                <wp:inline distT="0" distB="0" distL="114300" distR="114300">
                  <wp:extent cx="2611755" cy="3694430"/>
                  <wp:effectExtent l="0" t="0" r="9525" b="8890"/>
                  <wp:docPr id="16" name="图片 16" descr="e96fede5eb86587a28978bdc6de9a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e96fede5eb86587a28978bdc6de9ab7"/>
                          <pic:cNvPicPr>
                            <a:picLocks noChangeAspect="1"/>
                          </pic:cNvPicPr>
                        </pic:nvPicPr>
                        <pic:blipFill>
                          <a:blip r:embed="rId19"/>
                          <a:stretch>
                            <a:fillRect/>
                          </a:stretch>
                        </pic:blipFill>
                        <pic:spPr>
                          <a:xfrm>
                            <a:off x="0" y="0"/>
                            <a:ext cx="2611755" cy="3694430"/>
                          </a:xfrm>
                          <a:prstGeom prst="rect">
                            <a:avLst/>
                          </a:prstGeom>
                        </pic:spPr>
                      </pic:pic>
                    </a:graphicData>
                  </a:graphic>
                </wp:inline>
              </w:drawing>
            </w:r>
            <w:r>
              <w:rPr>
                <w:rFonts w:hint="eastAsia" w:eastAsiaTheme="minorEastAsia"/>
                <w:lang w:eastAsia="zh-CN"/>
              </w:rPr>
              <w:drawing>
                <wp:inline distT="0" distB="0" distL="114300" distR="114300">
                  <wp:extent cx="2677160" cy="3788410"/>
                  <wp:effectExtent l="0" t="0" r="5080" b="6350"/>
                  <wp:docPr id="18" name="图片 18" descr="0d624585eeae043ca41acd3f57ad7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0d624585eeae043ca41acd3f57ad71c"/>
                          <pic:cNvPicPr>
                            <a:picLocks noChangeAspect="1"/>
                          </pic:cNvPicPr>
                        </pic:nvPicPr>
                        <pic:blipFill>
                          <a:blip r:embed="rId20"/>
                          <a:stretch>
                            <a:fillRect/>
                          </a:stretch>
                        </pic:blipFill>
                        <pic:spPr>
                          <a:xfrm>
                            <a:off x="0" y="0"/>
                            <a:ext cx="2677160" cy="3788410"/>
                          </a:xfrm>
                          <a:prstGeom prst="rect">
                            <a:avLst/>
                          </a:prstGeom>
                        </pic:spPr>
                      </pic:pic>
                    </a:graphicData>
                  </a:graphic>
                </wp:inline>
              </w:drawing>
            </w:r>
            <w:r>
              <w:rPr>
                <w:rFonts w:hint="eastAsia" w:eastAsiaTheme="minorEastAsia"/>
                <w:lang w:eastAsia="zh-CN"/>
              </w:rPr>
              <w:drawing>
                <wp:inline distT="0" distB="0" distL="114300" distR="114300">
                  <wp:extent cx="2729865" cy="3861435"/>
                  <wp:effectExtent l="0" t="0" r="13335" b="9525"/>
                  <wp:docPr id="20" name="图片 20" descr="96af2199771eafffbf1355f53b64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96af2199771eafffbf1355f53b64765"/>
                          <pic:cNvPicPr>
                            <a:picLocks noChangeAspect="1"/>
                          </pic:cNvPicPr>
                        </pic:nvPicPr>
                        <pic:blipFill>
                          <a:blip r:embed="rId21"/>
                          <a:stretch>
                            <a:fillRect/>
                          </a:stretch>
                        </pic:blipFill>
                        <pic:spPr>
                          <a:xfrm>
                            <a:off x="0" y="0"/>
                            <a:ext cx="2729865" cy="3861435"/>
                          </a:xfrm>
                          <a:prstGeom prst="rect">
                            <a:avLst/>
                          </a:prstGeom>
                        </pic:spPr>
                      </pic:pic>
                    </a:graphicData>
                  </a:graphic>
                </wp:inline>
              </w:drawing>
            </w:r>
          </w:p>
        </w:tc>
      </w:tr>
    </w:tbl>
    <w:p w14:paraId="70C56564">
      <w:pPr>
        <w:spacing w:line="360" w:lineRule="auto"/>
        <w:ind w:firstLine="482" w:firstLineChars="200"/>
        <w:jc w:val="left"/>
        <w:rPr>
          <w:rFonts w:cs="仿宋_GB2312" w:asciiTheme="minorEastAsia" w:hAnsiTheme="minorEastAsia" w:eastAsiaTheme="minorEastAsia"/>
          <w:b/>
          <w:bCs/>
          <w:color w:val="000000" w:themeColor="text1"/>
          <w:sz w:val="24"/>
        </w:rPr>
      </w:pPr>
    </w:p>
    <w:p w14:paraId="258D7600">
      <w:pPr>
        <w:rPr>
          <w:rFonts w:cs="仿宋_GB2312" w:asciiTheme="minorEastAsia" w:hAnsiTheme="minorEastAsia" w:eastAsiaTheme="minorEastAsia"/>
          <w:b/>
          <w:bCs/>
          <w:color w:val="000000" w:themeColor="text1"/>
          <w:szCs w:val="21"/>
        </w:rPr>
      </w:pPr>
      <w:r>
        <w:rPr>
          <w:rFonts w:hint="eastAsia" w:cs="仿宋_GB2312" w:asciiTheme="minorEastAsia" w:hAnsiTheme="minorEastAsia" w:eastAsiaTheme="minorEastAsia"/>
          <w:b/>
          <w:bCs/>
          <w:color w:val="000000" w:themeColor="text1"/>
          <w:szCs w:val="21"/>
        </w:rPr>
        <w:br w:type="page"/>
      </w:r>
    </w:p>
    <w:p w14:paraId="51C042F3">
      <w:pPr>
        <w:spacing w:before="156" w:beforeLines="50" w:line="360" w:lineRule="auto"/>
        <w:ind w:firstLine="482" w:firstLineChars="200"/>
        <w:outlineLvl w:val="1"/>
        <w:rPr>
          <w:rFonts w:cs="仿宋_GB2312" w:asciiTheme="minorEastAsia" w:hAnsiTheme="minorEastAsia" w:eastAsiaTheme="minorEastAsia"/>
          <w:color w:val="000000" w:themeColor="text1"/>
          <w:sz w:val="24"/>
        </w:rPr>
      </w:pPr>
      <w:bookmarkStart w:id="31" w:name="_Toc14828"/>
      <w:r>
        <w:rPr>
          <w:rFonts w:hint="eastAsia" w:cs="仿宋_GB2312" w:asciiTheme="minorEastAsia" w:hAnsiTheme="minorEastAsia" w:eastAsiaTheme="minorEastAsia"/>
          <w:b/>
          <w:bCs/>
          <w:color w:val="000000" w:themeColor="text1"/>
          <w:sz w:val="24"/>
        </w:rPr>
        <w:t>（二）产品售后责任</w:t>
      </w:r>
      <w:bookmarkEnd w:id="31"/>
    </w:p>
    <w:p w14:paraId="08A93AC6">
      <w:pPr>
        <w:spacing w:line="312" w:lineRule="auto"/>
        <w:ind w:firstLine="420" w:firstLineChars="200"/>
        <w:rPr>
          <w:rFonts w:cs="仿宋_GB2312" w:asciiTheme="minorEastAsia" w:hAnsiTheme="minorEastAsia" w:eastAsiaTheme="minorEastAsia"/>
          <w:color w:val="000000" w:themeColor="text1"/>
          <w:szCs w:val="21"/>
        </w:rPr>
      </w:pPr>
      <w:r>
        <w:rPr>
          <w:rFonts w:hint="eastAsia" w:ascii="宋体" w:hAnsi="宋体" w:cs="宋体"/>
          <w:szCs w:val="21"/>
        </w:rPr>
        <w:t>公司一直致力于售后服务网络建设，提高客户满意度，并一直将售后服务网络建设放在战略性高度，明确提出了“诚实、诚恳、诚信”的经营信条、“质量第一、信誉至上、以人为本、开拓创新”的经营宗旨和“恪守质量第一，追求管理创新”的质量方针。公司编写了《售后服务承诺函》，并将它作为今后营销和售后服务活动中必须遵守的规范，完善售前、售中和售后服务，推进客户满意度。公司还逐步完善了“三包”制度、“缺陷产品召回制度”等，是用户买的放心，用的安心。</w:t>
      </w:r>
      <w:r>
        <w:rPr>
          <w:rFonts w:hint="eastAsia" w:cs="仿宋_GB2312" w:asciiTheme="minorEastAsia" w:hAnsiTheme="minorEastAsia" w:eastAsiaTheme="minorEastAsia"/>
          <w:color w:val="000000" w:themeColor="text1"/>
          <w:szCs w:val="21"/>
        </w:rPr>
        <w:t>公司为售出的产品购买了产品责任保险。</w:t>
      </w:r>
    </w:p>
    <w:p w14:paraId="2DC788AF">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同时，公司品质部对客诉信息定期监测，对市场中重复发生及影响客户满意度和产品调试的问题进行集中收集，并加以分析，形成报告。定期组织内部各部门召开产品质量会议，对重大产品质量问题进行攻坚改善，消除质量风险，提升产品质量满意度。</w:t>
      </w:r>
    </w:p>
    <w:p w14:paraId="295E6136">
      <w:pPr>
        <w:spacing w:line="360" w:lineRule="auto"/>
        <w:ind w:firstLine="482" w:firstLineChars="200"/>
        <w:outlineLvl w:val="1"/>
        <w:rPr>
          <w:rFonts w:cs="仿宋_GB2312" w:asciiTheme="minorEastAsia" w:hAnsiTheme="minorEastAsia" w:eastAsiaTheme="minorEastAsia"/>
          <w:b/>
          <w:bCs/>
          <w:color w:val="000000" w:themeColor="text1"/>
          <w:sz w:val="24"/>
        </w:rPr>
      </w:pPr>
      <w:bookmarkStart w:id="32" w:name="_Toc2788"/>
      <w:r>
        <w:rPr>
          <w:rFonts w:hint="eastAsia" w:cs="仿宋_GB2312" w:asciiTheme="minorEastAsia" w:hAnsiTheme="minorEastAsia" w:eastAsiaTheme="minorEastAsia"/>
          <w:b/>
          <w:bCs/>
          <w:color w:val="000000" w:themeColor="text1"/>
          <w:sz w:val="24"/>
        </w:rPr>
        <w:t>（三）企业社会责任</w:t>
      </w:r>
      <w:bookmarkEnd w:id="32"/>
    </w:p>
    <w:p w14:paraId="5F801666">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公司在企业不断发展的同时积极履行公共责任、公民义务及恪守道德规范。在公共责任方面，公司把环境保护和员工职业健康安全及减少能源消耗作为工作中的重点，积极创新，持续改进，取得了显著成果；在品德行为方面，公司提出了“培养和成长”的人才观，并兼顾顾客方、公司员工、政府等相关方的利益；在公益支持方面，高层领导率先垂范，员工积极参加，积极回报社会。</w:t>
      </w:r>
    </w:p>
    <w:p w14:paraId="5B278B10">
      <w:pPr>
        <w:spacing w:line="312" w:lineRule="auto"/>
        <w:ind w:firstLine="422" w:firstLineChars="200"/>
        <w:rPr>
          <w:rFonts w:cs="仿宋_GB2312" w:asciiTheme="minorEastAsia" w:hAnsiTheme="minorEastAsia" w:eastAsiaTheme="minorEastAsia"/>
          <w:b/>
          <w:bCs/>
          <w:color w:val="000000" w:themeColor="text1"/>
          <w:szCs w:val="21"/>
        </w:rPr>
      </w:pPr>
      <w:bookmarkStart w:id="33" w:name="_Toc388489884"/>
      <w:bookmarkStart w:id="34" w:name="_Toc269406197"/>
      <w:bookmarkStart w:id="35" w:name="_Toc270914909"/>
      <w:bookmarkStart w:id="36" w:name="_Toc2959"/>
      <w:bookmarkStart w:id="37" w:name="_Toc388479240"/>
      <w:bookmarkStart w:id="38" w:name="_Toc388480989"/>
      <w:bookmarkStart w:id="39" w:name="_Toc420361183"/>
      <w:bookmarkStart w:id="40" w:name="_Toc388485126"/>
      <w:bookmarkStart w:id="41" w:name="_Toc420614491"/>
      <w:bookmarkStart w:id="42" w:name="_Toc388485345"/>
      <w:bookmarkStart w:id="43" w:name="_Toc388490009"/>
      <w:r>
        <w:rPr>
          <w:rFonts w:hint="eastAsia" w:cs="仿宋_GB2312" w:asciiTheme="minorEastAsia" w:hAnsiTheme="minorEastAsia" w:eastAsiaTheme="minorEastAsia"/>
          <w:b/>
          <w:bCs/>
          <w:color w:val="000000" w:themeColor="text1"/>
          <w:szCs w:val="21"/>
        </w:rPr>
        <w:t>1、公共责任</w:t>
      </w:r>
      <w:bookmarkEnd w:id="33"/>
      <w:bookmarkEnd w:id="34"/>
      <w:bookmarkEnd w:id="35"/>
      <w:bookmarkEnd w:id="36"/>
      <w:bookmarkEnd w:id="37"/>
      <w:bookmarkEnd w:id="38"/>
      <w:bookmarkEnd w:id="39"/>
      <w:bookmarkEnd w:id="40"/>
      <w:bookmarkEnd w:id="41"/>
      <w:bookmarkEnd w:id="42"/>
      <w:bookmarkEnd w:id="43"/>
    </w:p>
    <w:p w14:paraId="27A8E146">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公司谋求企业与环境的和谐发展，在取得合理利润与经济效益之下，积极投入先进设备和技术。通过对公司在企业运营中可能给社会造成的危害影响进行风险识别，并严格遵照各种相关的法律和法规，采取各种有效的治理措施，使之达到法律法规要求，维护社会公共利益。</w:t>
      </w:r>
    </w:p>
    <w:p w14:paraId="4FDC7853">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公司产品及生产、运营过程对环境污染、社会风险不良影响较小，但公司仍非常重视环境影响控制，严格贯彻国家相关法律法规，建立和实施了环境管理体系和职业健康安全管理体系，制定并实施了《应急预案》，每年组织签订安全管理目标责任书；建立安全预警机制和安全事故应急处理机制；每年定期开展消防演练、紧急集合演练活动，实现环境和安卫目标；同时公司制定了节能管理制度，制定资源回收利用制度，对可利用资源进行回收利用。公司环境、安全、能源消耗等测量指标、方法、控制过程见下表。</w:t>
      </w:r>
    </w:p>
    <w:p w14:paraId="580621B3">
      <w:pPr>
        <w:spacing w:before="156" w:beforeLines="50"/>
        <w:jc w:val="center"/>
        <w:rPr>
          <w:rFonts w:cs="仿宋_GB2312" w:asciiTheme="minorEastAsia" w:hAnsiTheme="minorEastAsia" w:eastAsiaTheme="minorEastAsia"/>
          <w:b/>
          <w:bCs/>
          <w:color w:val="000000" w:themeColor="text1"/>
          <w:szCs w:val="21"/>
        </w:rPr>
      </w:pPr>
      <w:r>
        <w:rPr>
          <w:rFonts w:hint="eastAsia" w:cs="仿宋_GB2312" w:asciiTheme="minorEastAsia" w:hAnsiTheme="minorEastAsia" w:eastAsiaTheme="minorEastAsia"/>
          <w:b/>
          <w:bCs/>
          <w:color w:val="000000" w:themeColor="text1"/>
          <w:szCs w:val="21"/>
        </w:rPr>
        <w:t>图表11 公共责任指标测量与控制方法</w:t>
      </w:r>
    </w:p>
    <w:tbl>
      <w:tblPr>
        <w:tblStyle w:val="24"/>
        <w:tblW w:w="890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56"/>
        <w:gridCol w:w="1475"/>
        <w:gridCol w:w="4066"/>
        <w:gridCol w:w="1803"/>
      </w:tblGrid>
      <w:tr w14:paraId="5EDDE1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3" w:hRule="atLeast"/>
          <w:tblHeader/>
          <w:jc w:val="center"/>
        </w:trPr>
        <w:tc>
          <w:tcPr>
            <w:tcW w:w="1556" w:type="dxa"/>
            <w:tcBorders>
              <w:top w:val="single" w:color="auto" w:sz="12" w:space="0"/>
              <w:bottom w:val="single" w:color="auto" w:sz="6" w:space="0"/>
            </w:tcBorders>
            <w:shd w:val="clear" w:color="auto" w:fill="DCE6F2" w:themeFill="accent1" w:themeFillTint="32"/>
            <w:tcMar>
              <w:left w:w="28" w:type="dxa"/>
              <w:right w:w="28" w:type="dxa"/>
            </w:tcMar>
            <w:vAlign w:val="center"/>
          </w:tcPr>
          <w:p w14:paraId="2C454D39">
            <w:pPr>
              <w:pStyle w:val="114"/>
              <w:spacing w:line="240" w:lineRule="auto"/>
              <w:rPr>
                <w:color w:val="auto"/>
                <w:sz w:val="20"/>
                <w:szCs w:val="20"/>
              </w:rPr>
            </w:pPr>
            <w:r>
              <w:rPr>
                <w:rFonts w:hint="eastAsia"/>
                <w:color w:val="auto"/>
                <w:sz w:val="20"/>
                <w:szCs w:val="20"/>
              </w:rPr>
              <w:t>关键过程</w:t>
            </w:r>
          </w:p>
        </w:tc>
        <w:tc>
          <w:tcPr>
            <w:tcW w:w="1475" w:type="dxa"/>
            <w:tcBorders>
              <w:top w:val="single" w:color="auto" w:sz="12" w:space="0"/>
              <w:bottom w:val="single" w:color="auto" w:sz="6" w:space="0"/>
            </w:tcBorders>
            <w:shd w:val="clear" w:color="auto" w:fill="DCE6F2" w:themeFill="accent1" w:themeFillTint="32"/>
            <w:tcMar>
              <w:left w:w="28" w:type="dxa"/>
              <w:right w:w="28" w:type="dxa"/>
            </w:tcMar>
            <w:vAlign w:val="center"/>
          </w:tcPr>
          <w:p w14:paraId="3BDEA41E">
            <w:pPr>
              <w:pStyle w:val="114"/>
              <w:spacing w:line="240" w:lineRule="auto"/>
              <w:rPr>
                <w:color w:val="auto"/>
                <w:sz w:val="20"/>
                <w:szCs w:val="20"/>
              </w:rPr>
            </w:pPr>
            <w:r>
              <w:rPr>
                <w:rFonts w:hint="eastAsia"/>
                <w:color w:val="auto"/>
                <w:sz w:val="20"/>
                <w:szCs w:val="20"/>
              </w:rPr>
              <w:t>重大环境</w:t>
            </w:r>
            <w:r>
              <w:rPr>
                <w:color w:val="auto"/>
                <w:sz w:val="20"/>
                <w:szCs w:val="20"/>
              </w:rPr>
              <w:t>因素/</w:t>
            </w:r>
            <w:r>
              <w:rPr>
                <w:rFonts w:hint="eastAsia"/>
                <w:color w:val="auto"/>
                <w:sz w:val="20"/>
                <w:szCs w:val="20"/>
              </w:rPr>
              <w:t>危险</w:t>
            </w:r>
            <w:r>
              <w:rPr>
                <w:color w:val="auto"/>
                <w:sz w:val="20"/>
                <w:szCs w:val="20"/>
              </w:rPr>
              <w:t>源</w:t>
            </w:r>
          </w:p>
        </w:tc>
        <w:tc>
          <w:tcPr>
            <w:tcW w:w="4066" w:type="dxa"/>
            <w:tcBorders>
              <w:top w:val="single" w:color="auto" w:sz="12" w:space="0"/>
              <w:left w:val="single" w:color="auto" w:sz="4" w:space="0"/>
              <w:bottom w:val="single" w:color="auto" w:sz="6" w:space="0"/>
            </w:tcBorders>
            <w:shd w:val="clear" w:color="auto" w:fill="DCE6F2" w:themeFill="accent1" w:themeFillTint="32"/>
            <w:vAlign w:val="center"/>
          </w:tcPr>
          <w:p w14:paraId="42F5634B">
            <w:pPr>
              <w:pStyle w:val="114"/>
              <w:spacing w:line="240" w:lineRule="auto"/>
              <w:rPr>
                <w:color w:val="auto"/>
                <w:sz w:val="20"/>
                <w:szCs w:val="20"/>
              </w:rPr>
            </w:pPr>
            <w:r>
              <w:rPr>
                <w:rFonts w:hint="eastAsia"/>
                <w:color w:val="auto"/>
                <w:sz w:val="20"/>
                <w:szCs w:val="20"/>
              </w:rPr>
              <w:t>内控指标</w:t>
            </w:r>
          </w:p>
        </w:tc>
        <w:tc>
          <w:tcPr>
            <w:tcW w:w="1803" w:type="dxa"/>
            <w:tcBorders>
              <w:top w:val="single" w:color="auto" w:sz="12" w:space="0"/>
              <w:bottom w:val="single" w:color="auto" w:sz="6" w:space="0"/>
              <w:right w:val="single" w:color="auto" w:sz="4" w:space="0"/>
            </w:tcBorders>
            <w:shd w:val="clear" w:color="auto" w:fill="DCE6F2" w:themeFill="accent1" w:themeFillTint="32"/>
            <w:tcMar>
              <w:left w:w="28" w:type="dxa"/>
              <w:right w:w="28" w:type="dxa"/>
            </w:tcMar>
            <w:vAlign w:val="center"/>
          </w:tcPr>
          <w:p w14:paraId="614FAB07">
            <w:pPr>
              <w:pStyle w:val="114"/>
              <w:spacing w:line="240" w:lineRule="auto"/>
              <w:rPr>
                <w:color w:val="auto"/>
                <w:sz w:val="20"/>
                <w:szCs w:val="20"/>
              </w:rPr>
            </w:pPr>
            <w:r>
              <w:rPr>
                <w:rFonts w:hint="eastAsia"/>
                <w:color w:val="auto"/>
                <w:sz w:val="20"/>
                <w:szCs w:val="20"/>
              </w:rPr>
              <w:t>测量方法</w:t>
            </w:r>
          </w:p>
        </w:tc>
      </w:tr>
      <w:tr w14:paraId="5931ED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2" w:hRule="atLeast"/>
          <w:jc w:val="center"/>
        </w:trPr>
        <w:tc>
          <w:tcPr>
            <w:tcW w:w="1556" w:type="dxa"/>
            <w:tcBorders>
              <w:top w:val="single" w:color="auto" w:sz="6" w:space="0"/>
            </w:tcBorders>
            <w:tcMar>
              <w:left w:w="28" w:type="dxa"/>
              <w:right w:w="28" w:type="dxa"/>
            </w:tcMar>
            <w:vAlign w:val="center"/>
          </w:tcPr>
          <w:p w14:paraId="5A86A2FC">
            <w:pPr>
              <w:pStyle w:val="112"/>
              <w:spacing w:line="240" w:lineRule="auto"/>
              <w:jc w:val="center"/>
              <w:rPr>
                <w:sz w:val="20"/>
                <w:szCs w:val="20"/>
              </w:rPr>
            </w:pPr>
            <w:r>
              <w:rPr>
                <w:rFonts w:hint="eastAsia"/>
                <w:sz w:val="20"/>
                <w:szCs w:val="20"/>
              </w:rPr>
              <w:t>产品质量</w:t>
            </w:r>
          </w:p>
        </w:tc>
        <w:tc>
          <w:tcPr>
            <w:tcW w:w="1475" w:type="dxa"/>
            <w:tcBorders>
              <w:top w:val="single" w:color="auto" w:sz="6" w:space="0"/>
            </w:tcBorders>
            <w:tcMar>
              <w:left w:w="28" w:type="dxa"/>
              <w:right w:w="28" w:type="dxa"/>
            </w:tcMar>
            <w:vAlign w:val="center"/>
          </w:tcPr>
          <w:p w14:paraId="7CDE9CC0">
            <w:pPr>
              <w:pStyle w:val="112"/>
              <w:spacing w:line="240" w:lineRule="auto"/>
              <w:jc w:val="center"/>
              <w:rPr>
                <w:sz w:val="20"/>
                <w:szCs w:val="20"/>
              </w:rPr>
            </w:pPr>
            <w:r>
              <w:rPr>
                <w:rFonts w:hint="eastAsia"/>
                <w:sz w:val="20"/>
                <w:szCs w:val="20"/>
              </w:rPr>
              <w:t>重要原材料质量控制</w:t>
            </w:r>
          </w:p>
          <w:p w14:paraId="778BEB88">
            <w:pPr>
              <w:pStyle w:val="112"/>
              <w:spacing w:line="240" w:lineRule="auto"/>
              <w:jc w:val="center"/>
              <w:rPr>
                <w:sz w:val="20"/>
                <w:szCs w:val="20"/>
              </w:rPr>
            </w:pPr>
            <w:r>
              <w:rPr>
                <w:rFonts w:hint="eastAsia"/>
                <w:sz w:val="20"/>
                <w:szCs w:val="20"/>
              </w:rPr>
              <w:t>关键工序控制</w:t>
            </w:r>
          </w:p>
        </w:tc>
        <w:tc>
          <w:tcPr>
            <w:tcW w:w="4066" w:type="dxa"/>
            <w:tcBorders>
              <w:top w:val="single" w:color="auto" w:sz="6" w:space="0"/>
              <w:left w:val="single" w:color="auto" w:sz="4" w:space="0"/>
            </w:tcBorders>
            <w:vAlign w:val="center"/>
          </w:tcPr>
          <w:p w14:paraId="7E17FBBF">
            <w:pPr>
              <w:pStyle w:val="112"/>
              <w:spacing w:line="240" w:lineRule="auto"/>
              <w:rPr>
                <w:sz w:val="20"/>
                <w:szCs w:val="20"/>
              </w:rPr>
            </w:pPr>
            <w:r>
              <w:rPr>
                <w:rFonts w:hint="eastAsia"/>
                <w:sz w:val="20"/>
                <w:szCs w:val="20"/>
              </w:rPr>
              <w:t>严格执行国家与地方标准，所有产品质量均需达到国家标准</w:t>
            </w:r>
          </w:p>
        </w:tc>
        <w:tc>
          <w:tcPr>
            <w:tcW w:w="1803" w:type="dxa"/>
            <w:tcBorders>
              <w:top w:val="single" w:color="auto" w:sz="6" w:space="0"/>
              <w:right w:val="single" w:color="auto" w:sz="4" w:space="0"/>
            </w:tcBorders>
            <w:tcMar>
              <w:left w:w="28" w:type="dxa"/>
              <w:right w:w="28" w:type="dxa"/>
            </w:tcMar>
            <w:vAlign w:val="center"/>
          </w:tcPr>
          <w:p w14:paraId="1EAA8DBF">
            <w:pPr>
              <w:pStyle w:val="112"/>
              <w:spacing w:line="240" w:lineRule="auto"/>
              <w:rPr>
                <w:sz w:val="20"/>
                <w:szCs w:val="20"/>
              </w:rPr>
            </w:pPr>
            <w:r>
              <w:rPr>
                <w:rFonts w:hint="eastAsia"/>
                <w:sz w:val="20"/>
                <w:szCs w:val="20"/>
              </w:rPr>
              <w:t>定期组织内部和外部检测。</w:t>
            </w:r>
          </w:p>
        </w:tc>
      </w:tr>
      <w:tr w14:paraId="0B1F2F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2" w:hRule="atLeast"/>
          <w:jc w:val="center"/>
        </w:trPr>
        <w:tc>
          <w:tcPr>
            <w:tcW w:w="1556" w:type="dxa"/>
            <w:vMerge w:val="restart"/>
            <w:tcBorders>
              <w:top w:val="single" w:color="auto" w:sz="6" w:space="0"/>
            </w:tcBorders>
            <w:tcMar>
              <w:left w:w="28" w:type="dxa"/>
              <w:right w:w="28" w:type="dxa"/>
            </w:tcMar>
            <w:vAlign w:val="center"/>
          </w:tcPr>
          <w:p w14:paraId="1B560D59">
            <w:pPr>
              <w:pStyle w:val="112"/>
              <w:spacing w:line="240" w:lineRule="auto"/>
              <w:jc w:val="center"/>
              <w:rPr>
                <w:sz w:val="20"/>
                <w:szCs w:val="20"/>
              </w:rPr>
            </w:pPr>
            <w:r>
              <w:rPr>
                <w:rFonts w:hint="eastAsia"/>
                <w:sz w:val="20"/>
                <w:szCs w:val="20"/>
              </w:rPr>
              <w:t>环境</w:t>
            </w:r>
            <w:r>
              <w:rPr>
                <w:sz w:val="20"/>
                <w:szCs w:val="20"/>
              </w:rPr>
              <w:t>保护</w:t>
            </w:r>
          </w:p>
        </w:tc>
        <w:tc>
          <w:tcPr>
            <w:tcW w:w="1475" w:type="dxa"/>
            <w:tcBorders>
              <w:top w:val="single" w:color="auto" w:sz="6" w:space="0"/>
            </w:tcBorders>
            <w:tcMar>
              <w:left w:w="28" w:type="dxa"/>
              <w:right w:w="28" w:type="dxa"/>
            </w:tcMar>
            <w:vAlign w:val="center"/>
          </w:tcPr>
          <w:p w14:paraId="68B68FE6">
            <w:pPr>
              <w:pStyle w:val="112"/>
              <w:spacing w:line="240" w:lineRule="auto"/>
              <w:jc w:val="center"/>
              <w:rPr>
                <w:sz w:val="20"/>
                <w:szCs w:val="20"/>
              </w:rPr>
            </w:pPr>
            <w:r>
              <w:rPr>
                <w:rFonts w:hint="eastAsia"/>
                <w:sz w:val="20"/>
                <w:szCs w:val="20"/>
              </w:rPr>
              <w:t>噪音</w:t>
            </w:r>
          </w:p>
        </w:tc>
        <w:tc>
          <w:tcPr>
            <w:tcW w:w="4066" w:type="dxa"/>
            <w:tcBorders>
              <w:top w:val="single" w:color="auto" w:sz="6" w:space="0"/>
              <w:left w:val="single" w:color="auto" w:sz="4" w:space="0"/>
            </w:tcBorders>
            <w:vAlign w:val="center"/>
          </w:tcPr>
          <w:p w14:paraId="2AC911C5">
            <w:pPr>
              <w:pStyle w:val="112"/>
              <w:spacing w:line="240" w:lineRule="auto"/>
              <w:rPr>
                <w:sz w:val="20"/>
                <w:szCs w:val="20"/>
              </w:rPr>
            </w:pPr>
            <w:r>
              <w:rPr>
                <w:rFonts w:hint="eastAsia" w:ascii="宋体" w:hAnsi="宋体"/>
                <w:sz w:val="20"/>
                <w:szCs w:val="20"/>
              </w:rPr>
              <w:t>厂界噪声排放达到</w:t>
            </w:r>
            <w:r>
              <w:rPr>
                <w:rFonts w:ascii="宋体" w:hAnsi="宋体"/>
                <w:sz w:val="20"/>
                <w:szCs w:val="20"/>
              </w:rPr>
              <w:t>GB12348-2008工业企业厂界噪声</w:t>
            </w:r>
            <w:r>
              <w:rPr>
                <w:rFonts w:hint="eastAsia" w:ascii="宋体" w:hAnsi="宋体"/>
                <w:sz w:val="20"/>
                <w:szCs w:val="20"/>
              </w:rPr>
              <w:t>3类</w:t>
            </w:r>
            <w:r>
              <w:rPr>
                <w:rFonts w:ascii="宋体" w:hAnsi="宋体"/>
                <w:sz w:val="20"/>
                <w:szCs w:val="20"/>
              </w:rPr>
              <w:t>标准</w:t>
            </w:r>
            <w:r>
              <w:rPr>
                <w:rFonts w:hint="eastAsia" w:ascii="宋体" w:hAnsi="宋体"/>
                <w:sz w:val="20"/>
                <w:szCs w:val="20"/>
              </w:rPr>
              <w:t>。确保生产现场周界噪声的排放100%达标。</w:t>
            </w:r>
          </w:p>
        </w:tc>
        <w:tc>
          <w:tcPr>
            <w:tcW w:w="1803" w:type="dxa"/>
            <w:tcBorders>
              <w:top w:val="single" w:color="auto" w:sz="6" w:space="0"/>
              <w:right w:val="single" w:color="auto" w:sz="4" w:space="0"/>
            </w:tcBorders>
            <w:tcMar>
              <w:left w:w="28" w:type="dxa"/>
              <w:right w:w="28" w:type="dxa"/>
            </w:tcMar>
            <w:vAlign w:val="center"/>
          </w:tcPr>
          <w:p w14:paraId="26240406">
            <w:pPr>
              <w:pStyle w:val="112"/>
              <w:spacing w:line="240" w:lineRule="auto"/>
              <w:rPr>
                <w:sz w:val="20"/>
                <w:szCs w:val="20"/>
              </w:rPr>
            </w:pPr>
            <w:r>
              <w:rPr>
                <w:rFonts w:ascii="宋体" w:hAnsi="宋体"/>
                <w:sz w:val="20"/>
                <w:szCs w:val="20"/>
              </w:rPr>
              <w:t>对噪声源进行封闭,设备定期保养。</w:t>
            </w:r>
          </w:p>
        </w:tc>
      </w:tr>
      <w:tr w14:paraId="472D1C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2" w:hRule="atLeast"/>
          <w:jc w:val="center"/>
        </w:trPr>
        <w:tc>
          <w:tcPr>
            <w:tcW w:w="1556" w:type="dxa"/>
            <w:vMerge w:val="continue"/>
            <w:tcBorders>
              <w:top w:val="single" w:color="auto" w:sz="6" w:space="0"/>
            </w:tcBorders>
            <w:tcMar>
              <w:left w:w="28" w:type="dxa"/>
              <w:right w:w="28" w:type="dxa"/>
            </w:tcMar>
            <w:vAlign w:val="center"/>
          </w:tcPr>
          <w:p w14:paraId="04CA888E">
            <w:pPr>
              <w:pStyle w:val="112"/>
              <w:spacing w:line="240" w:lineRule="auto"/>
              <w:jc w:val="center"/>
              <w:rPr>
                <w:sz w:val="20"/>
                <w:szCs w:val="20"/>
              </w:rPr>
            </w:pPr>
          </w:p>
        </w:tc>
        <w:tc>
          <w:tcPr>
            <w:tcW w:w="1475" w:type="dxa"/>
            <w:tcBorders>
              <w:top w:val="single" w:color="auto" w:sz="6" w:space="0"/>
            </w:tcBorders>
            <w:tcMar>
              <w:left w:w="28" w:type="dxa"/>
              <w:right w:w="28" w:type="dxa"/>
            </w:tcMar>
            <w:vAlign w:val="center"/>
          </w:tcPr>
          <w:p w14:paraId="5604C509">
            <w:pPr>
              <w:pStyle w:val="112"/>
              <w:spacing w:line="240" w:lineRule="auto"/>
              <w:jc w:val="center"/>
              <w:rPr>
                <w:sz w:val="20"/>
                <w:szCs w:val="20"/>
              </w:rPr>
            </w:pPr>
            <w:r>
              <w:rPr>
                <w:rFonts w:hint="eastAsia"/>
                <w:sz w:val="20"/>
                <w:szCs w:val="20"/>
              </w:rPr>
              <w:t>废水</w:t>
            </w:r>
          </w:p>
        </w:tc>
        <w:tc>
          <w:tcPr>
            <w:tcW w:w="4066" w:type="dxa"/>
            <w:tcBorders>
              <w:top w:val="single" w:color="auto" w:sz="6" w:space="0"/>
              <w:left w:val="single" w:color="auto" w:sz="4" w:space="0"/>
            </w:tcBorders>
            <w:vAlign w:val="center"/>
          </w:tcPr>
          <w:p w14:paraId="727E05D5">
            <w:pPr>
              <w:pStyle w:val="112"/>
              <w:spacing w:line="240" w:lineRule="auto"/>
              <w:rPr>
                <w:sz w:val="20"/>
                <w:szCs w:val="20"/>
              </w:rPr>
            </w:pPr>
            <w:r>
              <w:rPr>
                <w:rFonts w:hint="eastAsia"/>
                <w:sz w:val="20"/>
                <w:szCs w:val="20"/>
              </w:rPr>
              <w:t>公司不产生工艺废水，只产生生活污水，生活污水经预处理</w:t>
            </w:r>
            <w:r>
              <w:rPr>
                <w:rFonts w:ascii="宋体" w:hAnsi="宋体"/>
                <w:sz w:val="20"/>
                <w:szCs w:val="20"/>
              </w:rPr>
              <w:t>GB8978-1996 污水综合排放三级标准</w:t>
            </w:r>
            <w:r>
              <w:rPr>
                <w:rFonts w:hint="eastAsia" w:ascii="宋体" w:hAnsi="宋体"/>
                <w:sz w:val="20"/>
                <w:szCs w:val="20"/>
              </w:rPr>
              <w:t>。</w:t>
            </w:r>
          </w:p>
        </w:tc>
        <w:tc>
          <w:tcPr>
            <w:tcW w:w="1803" w:type="dxa"/>
            <w:tcBorders>
              <w:top w:val="single" w:color="auto" w:sz="6" w:space="0"/>
              <w:right w:val="single" w:color="auto" w:sz="4" w:space="0"/>
            </w:tcBorders>
            <w:tcMar>
              <w:left w:w="28" w:type="dxa"/>
              <w:right w:w="28" w:type="dxa"/>
            </w:tcMar>
            <w:vAlign w:val="center"/>
          </w:tcPr>
          <w:p w14:paraId="42166398">
            <w:pPr>
              <w:pStyle w:val="112"/>
              <w:spacing w:line="240" w:lineRule="auto"/>
              <w:jc w:val="center"/>
              <w:rPr>
                <w:sz w:val="20"/>
                <w:szCs w:val="20"/>
              </w:rPr>
            </w:pPr>
            <w:r>
              <w:rPr>
                <w:rFonts w:hint="eastAsia"/>
                <w:sz w:val="20"/>
                <w:szCs w:val="20"/>
              </w:rPr>
              <w:t>定期监测</w:t>
            </w:r>
          </w:p>
        </w:tc>
      </w:tr>
      <w:tr w14:paraId="500A73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2" w:hRule="atLeast"/>
          <w:jc w:val="center"/>
        </w:trPr>
        <w:tc>
          <w:tcPr>
            <w:tcW w:w="1556" w:type="dxa"/>
            <w:vMerge w:val="continue"/>
            <w:tcBorders>
              <w:top w:val="single" w:color="auto" w:sz="6" w:space="0"/>
            </w:tcBorders>
            <w:tcMar>
              <w:left w:w="28" w:type="dxa"/>
              <w:right w:w="28" w:type="dxa"/>
            </w:tcMar>
            <w:vAlign w:val="center"/>
          </w:tcPr>
          <w:p w14:paraId="6686A539">
            <w:pPr>
              <w:pStyle w:val="112"/>
              <w:spacing w:line="240" w:lineRule="auto"/>
              <w:jc w:val="center"/>
              <w:rPr>
                <w:sz w:val="20"/>
                <w:szCs w:val="20"/>
              </w:rPr>
            </w:pPr>
          </w:p>
        </w:tc>
        <w:tc>
          <w:tcPr>
            <w:tcW w:w="1475" w:type="dxa"/>
            <w:tcBorders>
              <w:top w:val="single" w:color="auto" w:sz="6" w:space="0"/>
            </w:tcBorders>
            <w:tcMar>
              <w:left w:w="28" w:type="dxa"/>
              <w:right w:w="28" w:type="dxa"/>
            </w:tcMar>
            <w:vAlign w:val="center"/>
          </w:tcPr>
          <w:p w14:paraId="0E8F83EB">
            <w:pPr>
              <w:pStyle w:val="112"/>
              <w:spacing w:line="240" w:lineRule="auto"/>
              <w:jc w:val="center"/>
              <w:rPr>
                <w:sz w:val="20"/>
                <w:szCs w:val="20"/>
              </w:rPr>
            </w:pPr>
            <w:r>
              <w:rPr>
                <w:rFonts w:hint="eastAsia"/>
                <w:sz w:val="20"/>
                <w:szCs w:val="20"/>
              </w:rPr>
              <w:t>废气</w:t>
            </w:r>
          </w:p>
        </w:tc>
        <w:tc>
          <w:tcPr>
            <w:tcW w:w="4066" w:type="dxa"/>
            <w:tcBorders>
              <w:top w:val="single" w:color="auto" w:sz="6" w:space="0"/>
              <w:left w:val="single" w:color="auto" w:sz="4" w:space="0"/>
            </w:tcBorders>
            <w:vAlign w:val="center"/>
          </w:tcPr>
          <w:p w14:paraId="51034670">
            <w:pPr>
              <w:pStyle w:val="112"/>
              <w:spacing w:line="240" w:lineRule="auto"/>
              <w:rPr>
                <w:rFonts w:ascii="宋体" w:hAnsi="宋体"/>
                <w:sz w:val="20"/>
                <w:szCs w:val="20"/>
              </w:rPr>
            </w:pPr>
            <w:r>
              <w:rPr>
                <w:rFonts w:hint="eastAsia" w:ascii="宋体" w:hAnsi="宋体"/>
                <w:sz w:val="20"/>
                <w:szCs w:val="20"/>
              </w:rPr>
              <w:t>主要控制挤绝缘和挤护套等过程的废气、印字废气，采用集气罩收集、活性炭处理，排放</w:t>
            </w:r>
            <w:r>
              <w:rPr>
                <w:rFonts w:ascii="宋体" w:hAnsi="宋体"/>
                <w:sz w:val="20"/>
                <w:szCs w:val="20"/>
              </w:rPr>
              <w:t>GB</w:t>
            </w:r>
            <w:r>
              <w:rPr>
                <w:rFonts w:hint="eastAsia" w:ascii="宋体" w:hAnsi="宋体"/>
                <w:sz w:val="20"/>
                <w:szCs w:val="20"/>
              </w:rPr>
              <w:t>16297</w:t>
            </w:r>
            <w:r>
              <w:rPr>
                <w:rFonts w:ascii="宋体" w:hAnsi="宋体"/>
                <w:sz w:val="20"/>
                <w:szCs w:val="20"/>
              </w:rPr>
              <w:t xml:space="preserve">-1996 </w:t>
            </w:r>
            <w:r>
              <w:rPr>
                <w:rFonts w:hint="eastAsia" w:ascii="宋体" w:hAnsi="宋体"/>
                <w:sz w:val="20"/>
                <w:szCs w:val="20"/>
              </w:rPr>
              <w:t>大气污染</w:t>
            </w:r>
            <w:r>
              <w:rPr>
                <w:rFonts w:ascii="宋体" w:hAnsi="宋体"/>
                <w:sz w:val="20"/>
                <w:szCs w:val="20"/>
              </w:rPr>
              <w:t>综合排放</w:t>
            </w:r>
            <w:r>
              <w:rPr>
                <w:rFonts w:hint="eastAsia" w:ascii="宋体" w:hAnsi="宋体"/>
                <w:sz w:val="20"/>
                <w:szCs w:val="20"/>
              </w:rPr>
              <w:t>表2 无组织排放监控浓度限值和G</w:t>
            </w:r>
            <w:r>
              <w:rPr>
                <w:rFonts w:ascii="宋体" w:hAnsi="宋体"/>
                <w:sz w:val="20"/>
                <w:szCs w:val="20"/>
              </w:rPr>
              <w:t>B31572-2015</w:t>
            </w:r>
            <w:r>
              <w:rPr>
                <w:rFonts w:hint="eastAsia" w:ascii="宋体" w:hAnsi="宋体"/>
                <w:sz w:val="20"/>
                <w:szCs w:val="20"/>
              </w:rPr>
              <w:t>《合成树脂工业污染物排放标准》：PVC≤</w:t>
            </w:r>
            <w:r>
              <w:rPr>
                <w:rFonts w:ascii="宋体" w:hAnsi="宋体"/>
                <w:sz w:val="20"/>
                <w:szCs w:val="20"/>
              </w:rPr>
              <w:t>36mg/m</w:t>
            </w:r>
            <w:r>
              <w:rPr>
                <w:rFonts w:ascii="宋体" w:hAnsi="宋体"/>
                <w:sz w:val="20"/>
                <w:szCs w:val="20"/>
                <w:vertAlign w:val="superscript"/>
              </w:rPr>
              <w:t>3</w:t>
            </w:r>
            <w:r>
              <w:rPr>
                <w:rFonts w:hint="eastAsia" w:ascii="宋体" w:hAnsi="宋体"/>
                <w:sz w:val="20"/>
                <w:szCs w:val="20"/>
              </w:rPr>
              <w:t>，H</w:t>
            </w:r>
            <w:r>
              <w:rPr>
                <w:rFonts w:ascii="宋体" w:hAnsi="宋体"/>
                <w:sz w:val="20"/>
                <w:szCs w:val="20"/>
              </w:rPr>
              <w:t>Cl</w:t>
            </w:r>
            <w:r>
              <w:rPr>
                <w:rFonts w:hint="eastAsia" w:ascii="宋体" w:hAnsi="宋体"/>
                <w:sz w:val="20"/>
                <w:szCs w:val="20"/>
              </w:rPr>
              <w:t>≤</w:t>
            </w:r>
            <w:r>
              <w:rPr>
                <w:rFonts w:ascii="宋体" w:hAnsi="宋体"/>
                <w:sz w:val="20"/>
                <w:szCs w:val="20"/>
              </w:rPr>
              <w:t>100mg/m</w:t>
            </w:r>
            <w:r>
              <w:rPr>
                <w:rFonts w:ascii="宋体" w:hAnsi="宋体"/>
                <w:sz w:val="20"/>
                <w:szCs w:val="20"/>
                <w:vertAlign w:val="superscript"/>
              </w:rPr>
              <w:t>3</w:t>
            </w:r>
            <w:r>
              <w:rPr>
                <w:rFonts w:hint="eastAsia" w:ascii="宋体" w:hAnsi="宋体"/>
                <w:sz w:val="20"/>
                <w:szCs w:val="20"/>
              </w:rPr>
              <w:t>，非甲烷总烃≤</w:t>
            </w:r>
            <w:r>
              <w:rPr>
                <w:rFonts w:ascii="宋体" w:hAnsi="宋体"/>
                <w:sz w:val="20"/>
                <w:szCs w:val="20"/>
              </w:rPr>
              <w:t>100mg/m</w:t>
            </w:r>
            <w:r>
              <w:rPr>
                <w:rFonts w:ascii="宋体" w:hAnsi="宋体"/>
                <w:sz w:val="20"/>
                <w:szCs w:val="20"/>
                <w:vertAlign w:val="superscript"/>
              </w:rPr>
              <w:t>3</w:t>
            </w:r>
          </w:p>
        </w:tc>
        <w:tc>
          <w:tcPr>
            <w:tcW w:w="1803" w:type="dxa"/>
            <w:tcBorders>
              <w:top w:val="single" w:color="auto" w:sz="6" w:space="0"/>
              <w:right w:val="single" w:color="auto" w:sz="4" w:space="0"/>
            </w:tcBorders>
            <w:tcMar>
              <w:left w:w="28" w:type="dxa"/>
              <w:right w:w="28" w:type="dxa"/>
            </w:tcMar>
            <w:vAlign w:val="center"/>
          </w:tcPr>
          <w:p w14:paraId="0E1E33D1">
            <w:pPr>
              <w:pStyle w:val="112"/>
              <w:spacing w:line="240" w:lineRule="auto"/>
              <w:jc w:val="center"/>
              <w:rPr>
                <w:sz w:val="20"/>
                <w:szCs w:val="20"/>
              </w:rPr>
            </w:pPr>
            <w:r>
              <w:rPr>
                <w:rFonts w:hint="eastAsia"/>
                <w:sz w:val="20"/>
                <w:szCs w:val="20"/>
              </w:rPr>
              <w:t>定期监测</w:t>
            </w:r>
          </w:p>
        </w:tc>
      </w:tr>
      <w:tr w14:paraId="668E30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47" w:hRule="atLeast"/>
          <w:jc w:val="center"/>
        </w:trPr>
        <w:tc>
          <w:tcPr>
            <w:tcW w:w="1556" w:type="dxa"/>
            <w:vMerge w:val="continue"/>
            <w:tcBorders>
              <w:bottom w:val="single" w:color="auto" w:sz="6" w:space="0"/>
            </w:tcBorders>
            <w:tcMar>
              <w:left w:w="28" w:type="dxa"/>
              <w:right w:w="28" w:type="dxa"/>
            </w:tcMar>
            <w:vAlign w:val="center"/>
          </w:tcPr>
          <w:p w14:paraId="088D963B">
            <w:pPr>
              <w:pStyle w:val="112"/>
              <w:spacing w:line="240" w:lineRule="auto"/>
              <w:jc w:val="center"/>
              <w:rPr>
                <w:sz w:val="20"/>
                <w:szCs w:val="20"/>
              </w:rPr>
            </w:pPr>
          </w:p>
        </w:tc>
        <w:tc>
          <w:tcPr>
            <w:tcW w:w="1475" w:type="dxa"/>
            <w:tcBorders>
              <w:bottom w:val="single" w:color="auto" w:sz="6" w:space="0"/>
            </w:tcBorders>
            <w:tcMar>
              <w:left w:w="28" w:type="dxa"/>
              <w:right w:w="28" w:type="dxa"/>
            </w:tcMar>
            <w:vAlign w:val="center"/>
          </w:tcPr>
          <w:p w14:paraId="5D91A251">
            <w:pPr>
              <w:pStyle w:val="112"/>
              <w:spacing w:line="240" w:lineRule="auto"/>
              <w:jc w:val="center"/>
              <w:rPr>
                <w:sz w:val="20"/>
                <w:szCs w:val="20"/>
              </w:rPr>
            </w:pPr>
            <w:r>
              <w:rPr>
                <w:rFonts w:hint="eastAsia"/>
                <w:sz w:val="20"/>
                <w:szCs w:val="20"/>
              </w:rPr>
              <w:t>固废</w:t>
            </w:r>
          </w:p>
        </w:tc>
        <w:tc>
          <w:tcPr>
            <w:tcW w:w="4066" w:type="dxa"/>
            <w:tcBorders>
              <w:left w:val="single" w:color="auto" w:sz="4" w:space="0"/>
              <w:bottom w:val="single" w:color="auto" w:sz="6" w:space="0"/>
            </w:tcBorders>
            <w:vAlign w:val="center"/>
          </w:tcPr>
          <w:p w14:paraId="447F0479">
            <w:pPr>
              <w:pStyle w:val="112"/>
              <w:spacing w:line="240" w:lineRule="auto"/>
              <w:rPr>
                <w:rFonts w:ascii="宋体" w:hAnsi="宋体"/>
                <w:sz w:val="20"/>
                <w:szCs w:val="20"/>
              </w:rPr>
            </w:pPr>
            <w:r>
              <w:rPr>
                <w:rFonts w:hint="eastAsia" w:ascii="宋体" w:hAnsi="宋体"/>
                <w:sz w:val="20"/>
                <w:szCs w:val="20"/>
              </w:rPr>
              <w:t>主要控制废边角料、废活性炭、废皂液、废油墨瓶等，实行废弃物的规范化管理，减少废弃物对环境的污染。100%实现废弃物的分类管理。100%实现废弃物的处理规范化。</w:t>
            </w:r>
          </w:p>
        </w:tc>
        <w:tc>
          <w:tcPr>
            <w:tcW w:w="1803" w:type="dxa"/>
            <w:tcBorders>
              <w:bottom w:val="single" w:color="auto" w:sz="6" w:space="0"/>
              <w:right w:val="single" w:color="auto" w:sz="4" w:space="0"/>
            </w:tcBorders>
            <w:tcMar>
              <w:left w:w="28" w:type="dxa"/>
              <w:right w:w="28" w:type="dxa"/>
            </w:tcMar>
            <w:vAlign w:val="center"/>
          </w:tcPr>
          <w:p w14:paraId="50A1E36D">
            <w:pPr>
              <w:pStyle w:val="112"/>
              <w:spacing w:line="240" w:lineRule="auto"/>
              <w:rPr>
                <w:sz w:val="20"/>
                <w:szCs w:val="20"/>
              </w:rPr>
            </w:pPr>
            <w:r>
              <w:rPr>
                <w:rFonts w:hint="eastAsia"/>
                <w:sz w:val="20"/>
                <w:szCs w:val="20"/>
              </w:rPr>
              <w:t>定期检查公司生产、生活废物的回收和处置情况，每次处置完保留废弃物的处理记录。</w:t>
            </w:r>
          </w:p>
        </w:tc>
      </w:tr>
      <w:tr w14:paraId="1697F5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9" w:hRule="atLeast"/>
          <w:jc w:val="center"/>
        </w:trPr>
        <w:tc>
          <w:tcPr>
            <w:tcW w:w="1556" w:type="dxa"/>
            <w:vMerge w:val="continue"/>
            <w:tcMar>
              <w:left w:w="28" w:type="dxa"/>
              <w:right w:w="28" w:type="dxa"/>
            </w:tcMar>
            <w:vAlign w:val="center"/>
          </w:tcPr>
          <w:p w14:paraId="26502DE0">
            <w:pPr>
              <w:pStyle w:val="112"/>
              <w:spacing w:line="240" w:lineRule="auto"/>
              <w:jc w:val="center"/>
              <w:rPr>
                <w:sz w:val="20"/>
                <w:szCs w:val="20"/>
              </w:rPr>
            </w:pPr>
          </w:p>
        </w:tc>
        <w:tc>
          <w:tcPr>
            <w:tcW w:w="1475" w:type="dxa"/>
            <w:shd w:val="clear" w:color="auto" w:fill="auto"/>
            <w:tcMar>
              <w:left w:w="28" w:type="dxa"/>
              <w:right w:w="28" w:type="dxa"/>
            </w:tcMar>
            <w:vAlign w:val="center"/>
          </w:tcPr>
          <w:p w14:paraId="25E202FC">
            <w:pPr>
              <w:pStyle w:val="112"/>
              <w:spacing w:line="240" w:lineRule="auto"/>
              <w:jc w:val="center"/>
              <w:rPr>
                <w:sz w:val="20"/>
                <w:szCs w:val="20"/>
              </w:rPr>
            </w:pPr>
            <w:r>
              <w:rPr>
                <w:rFonts w:hint="eastAsia"/>
                <w:sz w:val="20"/>
                <w:szCs w:val="20"/>
              </w:rPr>
              <w:t>火灾（潜在）</w:t>
            </w:r>
          </w:p>
        </w:tc>
        <w:tc>
          <w:tcPr>
            <w:tcW w:w="4066" w:type="dxa"/>
            <w:tcBorders>
              <w:left w:val="single" w:color="auto" w:sz="4" w:space="0"/>
            </w:tcBorders>
            <w:vAlign w:val="center"/>
          </w:tcPr>
          <w:p w14:paraId="3B940C53">
            <w:pPr>
              <w:pStyle w:val="112"/>
              <w:spacing w:line="240" w:lineRule="auto"/>
              <w:rPr>
                <w:sz w:val="20"/>
                <w:szCs w:val="20"/>
              </w:rPr>
            </w:pPr>
            <w:r>
              <w:rPr>
                <w:rFonts w:hint="eastAsia"/>
                <w:sz w:val="20"/>
                <w:szCs w:val="20"/>
              </w:rPr>
              <w:t>无发生</w:t>
            </w:r>
          </w:p>
        </w:tc>
        <w:tc>
          <w:tcPr>
            <w:tcW w:w="1803" w:type="dxa"/>
            <w:tcMar>
              <w:left w:w="28" w:type="dxa"/>
              <w:right w:w="28" w:type="dxa"/>
            </w:tcMar>
            <w:vAlign w:val="center"/>
          </w:tcPr>
          <w:p w14:paraId="00DA6AAD">
            <w:pPr>
              <w:pStyle w:val="112"/>
              <w:spacing w:line="240" w:lineRule="auto"/>
              <w:rPr>
                <w:sz w:val="20"/>
                <w:szCs w:val="20"/>
              </w:rPr>
            </w:pPr>
            <w:r>
              <w:rPr>
                <w:rFonts w:hint="eastAsia"/>
                <w:sz w:val="20"/>
                <w:szCs w:val="20"/>
              </w:rPr>
              <w:t>常规检查1月/次，大检1年/次</w:t>
            </w:r>
          </w:p>
        </w:tc>
      </w:tr>
      <w:tr w14:paraId="00FE52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2" w:hRule="atLeast"/>
          <w:jc w:val="center"/>
        </w:trPr>
        <w:tc>
          <w:tcPr>
            <w:tcW w:w="1556" w:type="dxa"/>
            <w:tcMar>
              <w:left w:w="28" w:type="dxa"/>
              <w:right w:w="28" w:type="dxa"/>
            </w:tcMar>
            <w:vAlign w:val="center"/>
          </w:tcPr>
          <w:p w14:paraId="3935039E">
            <w:pPr>
              <w:pStyle w:val="112"/>
              <w:spacing w:line="240" w:lineRule="auto"/>
              <w:jc w:val="center"/>
              <w:rPr>
                <w:sz w:val="20"/>
                <w:szCs w:val="20"/>
              </w:rPr>
            </w:pPr>
            <w:r>
              <w:rPr>
                <w:rFonts w:hint="eastAsia"/>
                <w:sz w:val="20"/>
                <w:szCs w:val="20"/>
              </w:rPr>
              <w:t>节能降耗</w:t>
            </w:r>
          </w:p>
        </w:tc>
        <w:tc>
          <w:tcPr>
            <w:tcW w:w="1475" w:type="dxa"/>
            <w:tcMar>
              <w:left w:w="28" w:type="dxa"/>
              <w:right w:w="28" w:type="dxa"/>
            </w:tcMar>
            <w:vAlign w:val="center"/>
          </w:tcPr>
          <w:p w14:paraId="25A59F01">
            <w:pPr>
              <w:pStyle w:val="112"/>
              <w:spacing w:line="240" w:lineRule="auto"/>
              <w:jc w:val="center"/>
              <w:rPr>
                <w:sz w:val="20"/>
                <w:szCs w:val="20"/>
              </w:rPr>
            </w:pPr>
            <w:r>
              <w:rPr>
                <w:rFonts w:hint="eastAsia"/>
                <w:sz w:val="20"/>
                <w:szCs w:val="20"/>
              </w:rPr>
              <w:t>综合能耗</w:t>
            </w:r>
          </w:p>
        </w:tc>
        <w:tc>
          <w:tcPr>
            <w:tcW w:w="4066" w:type="dxa"/>
            <w:tcBorders>
              <w:left w:val="single" w:color="auto" w:sz="4" w:space="0"/>
            </w:tcBorders>
            <w:vAlign w:val="center"/>
          </w:tcPr>
          <w:p w14:paraId="3AEFA69F">
            <w:pPr>
              <w:pStyle w:val="112"/>
              <w:spacing w:line="240" w:lineRule="auto"/>
              <w:rPr>
                <w:sz w:val="20"/>
                <w:szCs w:val="20"/>
              </w:rPr>
            </w:pPr>
            <w:r>
              <w:rPr>
                <w:rFonts w:hint="eastAsia"/>
                <w:sz w:val="20"/>
                <w:szCs w:val="20"/>
              </w:rPr>
              <w:t>/</w:t>
            </w:r>
          </w:p>
        </w:tc>
        <w:tc>
          <w:tcPr>
            <w:tcW w:w="1803" w:type="dxa"/>
            <w:tcMar>
              <w:left w:w="28" w:type="dxa"/>
              <w:right w:w="28" w:type="dxa"/>
            </w:tcMar>
            <w:vAlign w:val="center"/>
          </w:tcPr>
          <w:p w14:paraId="2AAA003F">
            <w:pPr>
              <w:pStyle w:val="112"/>
              <w:spacing w:line="240" w:lineRule="auto"/>
              <w:rPr>
                <w:sz w:val="20"/>
                <w:szCs w:val="20"/>
              </w:rPr>
            </w:pPr>
            <w:r>
              <w:rPr>
                <w:rFonts w:hint="eastAsia"/>
                <w:sz w:val="20"/>
                <w:szCs w:val="20"/>
              </w:rPr>
              <w:t>每月统计产值、能耗</w:t>
            </w:r>
          </w:p>
        </w:tc>
      </w:tr>
      <w:tr w14:paraId="70401F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8" w:hRule="atLeast"/>
          <w:jc w:val="center"/>
        </w:trPr>
        <w:tc>
          <w:tcPr>
            <w:tcW w:w="1556" w:type="dxa"/>
            <w:tcMar>
              <w:left w:w="28" w:type="dxa"/>
              <w:right w:w="28" w:type="dxa"/>
            </w:tcMar>
            <w:vAlign w:val="center"/>
          </w:tcPr>
          <w:p w14:paraId="6404EEC9">
            <w:pPr>
              <w:pStyle w:val="112"/>
              <w:spacing w:line="240" w:lineRule="auto"/>
              <w:jc w:val="center"/>
              <w:rPr>
                <w:sz w:val="20"/>
                <w:szCs w:val="20"/>
              </w:rPr>
            </w:pPr>
            <w:r>
              <w:rPr>
                <w:rFonts w:hint="eastAsia"/>
                <w:sz w:val="20"/>
                <w:szCs w:val="20"/>
              </w:rPr>
              <w:t>安全生产</w:t>
            </w:r>
          </w:p>
        </w:tc>
        <w:tc>
          <w:tcPr>
            <w:tcW w:w="1475" w:type="dxa"/>
            <w:tcMar>
              <w:left w:w="28" w:type="dxa"/>
              <w:right w:w="28" w:type="dxa"/>
            </w:tcMar>
            <w:vAlign w:val="center"/>
          </w:tcPr>
          <w:p w14:paraId="1A9B6E40">
            <w:pPr>
              <w:pStyle w:val="112"/>
              <w:spacing w:line="240" w:lineRule="auto"/>
              <w:jc w:val="center"/>
              <w:rPr>
                <w:sz w:val="20"/>
                <w:szCs w:val="20"/>
              </w:rPr>
            </w:pPr>
            <w:r>
              <w:rPr>
                <w:rFonts w:hint="eastAsia"/>
                <w:sz w:val="20"/>
                <w:szCs w:val="20"/>
              </w:rPr>
              <w:t>杜绝安全事故，预防职业病发生</w:t>
            </w:r>
          </w:p>
        </w:tc>
        <w:tc>
          <w:tcPr>
            <w:tcW w:w="4066" w:type="dxa"/>
            <w:tcBorders>
              <w:left w:val="single" w:color="auto" w:sz="4" w:space="0"/>
            </w:tcBorders>
            <w:vAlign w:val="center"/>
          </w:tcPr>
          <w:p w14:paraId="6A2A61C8">
            <w:pPr>
              <w:pStyle w:val="112"/>
              <w:spacing w:line="240" w:lineRule="auto"/>
              <w:rPr>
                <w:sz w:val="20"/>
                <w:szCs w:val="20"/>
              </w:rPr>
            </w:pPr>
            <w:r>
              <w:rPr>
                <w:rFonts w:hint="eastAsia"/>
                <w:sz w:val="20"/>
                <w:szCs w:val="20"/>
              </w:rPr>
              <w:t>无安全生产责任事故</w:t>
            </w:r>
          </w:p>
        </w:tc>
        <w:tc>
          <w:tcPr>
            <w:tcW w:w="1803" w:type="dxa"/>
            <w:tcMar>
              <w:left w:w="28" w:type="dxa"/>
              <w:right w:w="28" w:type="dxa"/>
            </w:tcMar>
            <w:vAlign w:val="center"/>
          </w:tcPr>
          <w:p w14:paraId="682E9785">
            <w:pPr>
              <w:pStyle w:val="112"/>
              <w:spacing w:line="240" w:lineRule="auto"/>
              <w:rPr>
                <w:sz w:val="20"/>
                <w:szCs w:val="20"/>
              </w:rPr>
            </w:pPr>
            <w:r>
              <w:rPr>
                <w:rFonts w:hint="eastAsia"/>
                <w:sz w:val="20"/>
                <w:szCs w:val="20"/>
              </w:rPr>
              <w:t>每年统计，消防安全检查</w:t>
            </w:r>
          </w:p>
        </w:tc>
      </w:tr>
    </w:tbl>
    <w:p w14:paraId="7E946FC7">
      <w:pPr>
        <w:spacing w:before="156" w:beforeLines="50" w:line="312" w:lineRule="auto"/>
        <w:ind w:firstLine="420" w:firstLineChars="200"/>
        <w:rPr>
          <w:rFonts w:cs="仿宋_GB2312" w:asciiTheme="minorEastAsia" w:hAnsiTheme="minorEastAsia" w:eastAsiaTheme="minorEastAsia"/>
          <w:color w:val="000000" w:themeColor="text1"/>
          <w:szCs w:val="21"/>
        </w:rPr>
      </w:pPr>
      <w:bookmarkStart w:id="44" w:name="_Toc300154931"/>
      <w:bookmarkStart w:id="45" w:name="_Toc292992195"/>
      <w:bookmarkStart w:id="46" w:name="_Toc5260"/>
      <w:r>
        <w:rPr>
          <w:rFonts w:hint="eastAsia" w:cs="仿宋_GB2312" w:asciiTheme="minorEastAsia" w:hAnsiTheme="minorEastAsia" w:eastAsiaTheme="minorEastAsia"/>
          <w:color w:val="000000" w:themeColor="text1"/>
          <w:szCs w:val="21"/>
        </w:rPr>
        <w:t>公司通过每年的内部审核、二方审核、第三方监督审核等方式，分析评价公司对质量管理、环境保护、能源消耗、资源综合利用、健康与安全等方面的问题，采取措施，实施改善。</w:t>
      </w:r>
    </w:p>
    <w:p w14:paraId="4D94B46A">
      <w:pPr>
        <w:spacing w:line="312" w:lineRule="auto"/>
        <w:ind w:firstLine="422" w:firstLineChars="200"/>
        <w:rPr>
          <w:rFonts w:cs="仿宋_GB2312" w:asciiTheme="minorEastAsia" w:hAnsiTheme="minorEastAsia" w:eastAsiaTheme="minorEastAsia"/>
          <w:b/>
          <w:bCs/>
          <w:color w:val="000000" w:themeColor="text1"/>
          <w:szCs w:val="21"/>
        </w:rPr>
      </w:pPr>
      <w:bookmarkStart w:id="47" w:name="_Toc420361184"/>
      <w:bookmarkStart w:id="48" w:name="_Toc388490011"/>
      <w:bookmarkStart w:id="49" w:name="_Toc388485347"/>
      <w:bookmarkStart w:id="50" w:name="_Toc388489886"/>
      <w:bookmarkStart w:id="51" w:name="_Toc388485128"/>
      <w:bookmarkStart w:id="52" w:name="_Toc420614492"/>
      <w:bookmarkStart w:id="53" w:name="_Toc388480991"/>
      <w:r>
        <w:rPr>
          <w:rFonts w:hint="eastAsia" w:cs="仿宋_GB2312" w:asciiTheme="minorEastAsia" w:hAnsiTheme="minorEastAsia" w:eastAsiaTheme="minorEastAsia"/>
          <w:b/>
          <w:bCs/>
          <w:color w:val="000000" w:themeColor="text1"/>
          <w:szCs w:val="21"/>
        </w:rPr>
        <w:t>2、道德行为</w:t>
      </w:r>
      <w:bookmarkEnd w:id="44"/>
      <w:bookmarkEnd w:id="45"/>
      <w:bookmarkEnd w:id="46"/>
      <w:bookmarkEnd w:id="47"/>
      <w:bookmarkEnd w:id="48"/>
      <w:bookmarkEnd w:id="49"/>
      <w:bookmarkEnd w:id="50"/>
      <w:bookmarkEnd w:id="51"/>
      <w:bookmarkEnd w:id="52"/>
      <w:bookmarkEnd w:id="53"/>
    </w:p>
    <w:p w14:paraId="3F75F3DD">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公司的道德行为主要表现为：在企业内部主要对高层领导、中层领导及员工负责；在企业之间主要对供应商负责；在企业外部主要对客户、股东、政府和社会等负责。</w:t>
      </w:r>
    </w:p>
    <w:p w14:paraId="6CF612FD">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企业内部：对高层领导，每年进行一次民主测评，主要针对政治思想、领导艺术、业务等方面的评价；对中层领导，制定领导干部廉洁从业若干规定，以提高中层领导的道德及管理水平。对公司员工，有各项行政管理制度等约束性规范。</w:t>
      </w:r>
    </w:p>
    <w:p w14:paraId="08E4DD49">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企业之间：对供应商，公司与之建有良好的合作伙伴关系，定期会晤交流。在日常的物资采购环节，采购供应部严格按照《合同法》和采购控制流程操作实施，使合同违约率和索赔金额达到最低限度。</w:t>
      </w:r>
    </w:p>
    <w:p w14:paraId="74D2399A">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 xml:space="preserve">企业外部：对于顾客，确保质量、遵守合同。公司的产品在质量上主要执行三个标准，一个是相同于国家的质量法律法规，一个是行业内的质量标准，还有一个是企业自身的质量要求标准。就相对而言，因为公司在行业内的领军地位，使得自身的标准往往高于国家或行业标准，产品质量广受好评。同时在履行营销合同方面，公司一贯是按《合同法》操作，与广大客户无论大小均有良好合作。对于政府：依法纳税、廉洁自律。依法纳税是一个企业的基本道德底线，也是实现经济社会良性发展的重要保障。公司依法纳税是应尽的责任和义务。 </w:t>
      </w:r>
    </w:p>
    <w:p w14:paraId="7609E1BB">
      <w:pPr>
        <w:spacing w:line="312" w:lineRule="auto"/>
        <w:ind w:firstLine="422" w:firstLineChars="200"/>
        <w:rPr>
          <w:rFonts w:cs="仿宋_GB2312" w:asciiTheme="minorEastAsia" w:hAnsiTheme="minorEastAsia" w:eastAsiaTheme="minorEastAsia"/>
          <w:b/>
          <w:bCs/>
          <w:color w:val="000000" w:themeColor="text1"/>
          <w:szCs w:val="21"/>
        </w:rPr>
      </w:pPr>
      <w:bookmarkStart w:id="54" w:name="_Toc9004"/>
      <w:bookmarkStart w:id="55" w:name="_Toc388480992"/>
      <w:bookmarkStart w:id="56" w:name="_Toc420361185"/>
      <w:bookmarkStart w:id="57" w:name="_Toc420614493"/>
      <w:bookmarkStart w:id="58" w:name="_Toc388490012"/>
      <w:bookmarkStart w:id="59" w:name="_Toc388485129"/>
      <w:bookmarkStart w:id="60" w:name="_Toc388489887"/>
      <w:bookmarkStart w:id="61" w:name="_Toc388485348"/>
      <w:r>
        <w:rPr>
          <w:rFonts w:hint="eastAsia" w:cs="仿宋_GB2312" w:asciiTheme="minorEastAsia" w:hAnsiTheme="minorEastAsia" w:eastAsiaTheme="minorEastAsia"/>
          <w:b/>
          <w:bCs/>
          <w:color w:val="000000" w:themeColor="text1"/>
          <w:szCs w:val="21"/>
        </w:rPr>
        <w:t>3、公益支持</w:t>
      </w:r>
      <w:bookmarkEnd w:id="54"/>
      <w:bookmarkEnd w:id="55"/>
      <w:bookmarkEnd w:id="56"/>
      <w:bookmarkEnd w:id="57"/>
      <w:bookmarkEnd w:id="58"/>
      <w:bookmarkEnd w:id="59"/>
      <w:bookmarkEnd w:id="60"/>
      <w:bookmarkEnd w:id="61"/>
    </w:p>
    <w:p w14:paraId="0314C270">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公司强调企业的社会责任，真诚回报社会。董事长十分重视公益支持事业，大力倡导并以身作则，公司领导也将随着企业的不断发展坚持不懈的把公益事业发展下去。公司配合企业的战略每年规划公益支持的费用和公益支持的方向。</w:t>
      </w:r>
    </w:p>
    <w:p w14:paraId="752A87C2">
      <w:pPr>
        <w:spacing w:before="156" w:beforeLines="50"/>
        <w:ind w:left="359" w:leftChars="171" w:firstLine="316" w:firstLineChars="150"/>
        <w:jc w:val="center"/>
        <w:rPr>
          <w:rFonts w:hint="eastAsia" w:ascii="宋体" w:hAnsi="宋体"/>
          <w:b/>
          <w:bCs/>
          <w:color w:val="000000"/>
          <w:szCs w:val="21"/>
        </w:rPr>
      </w:pPr>
      <w:r>
        <w:rPr>
          <w:rFonts w:hint="eastAsia" w:ascii="宋体" w:hAnsi="宋体"/>
          <w:b/>
          <w:bCs/>
          <w:color w:val="000000"/>
          <w:szCs w:val="21"/>
        </w:rPr>
        <w:t xml:space="preserve">图表12 </w:t>
      </w:r>
      <w:r>
        <w:rPr>
          <w:rFonts w:hint="eastAsia"/>
          <w:b/>
          <w:bCs/>
          <w:color w:val="000000"/>
          <w:szCs w:val="21"/>
        </w:rPr>
        <w:t>近三年</w:t>
      </w:r>
      <w:r>
        <w:rPr>
          <w:rFonts w:hint="eastAsia" w:ascii="宋体" w:hAnsi="宋体"/>
          <w:b/>
          <w:bCs/>
          <w:color w:val="000000"/>
          <w:szCs w:val="21"/>
        </w:rPr>
        <w:t>公司慈善捐款和公益活动情况</w:t>
      </w:r>
    </w:p>
    <w:tbl>
      <w:tblPr>
        <w:tblStyle w:val="24"/>
        <w:tblW w:w="8647" w:type="dxa"/>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268"/>
        <w:gridCol w:w="3746"/>
        <w:gridCol w:w="2633"/>
      </w:tblGrid>
      <w:tr w14:paraId="05616A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3" w:hRule="atLeast"/>
          <w:tblHeader/>
        </w:trPr>
        <w:tc>
          <w:tcPr>
            <w:tcW w:w="2268" w:type="dxa"/>
            <w:shd w:val="clear" w:color="auto" w:fill="DBE5F1"/>
            <w:vAlign w:val="center"/>
          </w:tcPr>
          <w:p w14:paraId="4C9C27A3">
            <w:pPr>
              <w:spacing w:line="240" w:lineRule="atLeast"/>
              <w:jc w:val="center"/>
              <w:rPr>
                <w:rFonts w:ascii="宋体" w:hAnsi="宋体"/>
                <w:b/>
                <w:bCs/>
                <w:color w:val="000000"/>
                <w:szCs w:val="21"/>
              </w:rPr>
            </w:pPr>
            <w:r>
              <w:rPr>
                <w:rFonts w:hint="eastAsia" w:ascii="宋体" w:hAnsi="宋体"/>
                <w:b/>
                <w:bCs/>
                <w:color w:val="000000"/>
                <w:szCs w:val="21"/>
              </w:rPr>
              <w:t>支持领域名称</w:t>
            </w:r>
          </w:p>
        </w:tc>
        <w:tc>
          <w:tcPr>
            <w:tcW w:w="3746" w:type="dxa"/>
            <w:shd w:val="clear" w:color="auto" w:fill="DBE5F1"/>
            <w:vAlign w:val="center"/>
          </w:tcPr>
          <w:p w14:paraId="79FA14E8">
            <w:pPr>
              <w:spacing w:line="240" w:lineRule="atLeast"/>
              <w:jc w:val="center"/>
              <w:rPr>
                <w:rFonts w:ascii="宋体" w:hAnsi="宋体"/>
                <w:b/>
                <w:bCs/>
                <w:color w:val="000000"/>
                <w:szCs w:val="21"/>
              </w:rPr>
            </w:pPr>
            <w:r>
              <w:rPr>
                <w:rFonts w:hint="eastAsia" w:ascii="宋体" w:hAnsi="宋体"/>
                <w:b/>
                <w:bCs/>
                <w:color w:val="000000"/>
                <w:szCs w:val="21"/>
              </w:rPr>
              <w:t>支持内容</w:t>
            </w:r>
          </w:p>
        </w:tc>
        <w:tc>
          <w:tcPr>
            <w:tcW w:w="2633" w:type="dxa"/>
            <w:shd w:val="clear" w:color="auto" w:fill="DBE5F1"/>
            <w:vAlign w:val="center"/>
          </w:tcPr>
          <w:p w14:paraId="5A6F0867">
            <w:pPr>
              <w:spacing w:line="240" w:lineRule="atLeast"/>
              <w:jc w:val="center"/>
              <w:rPr>
                <w:rFonts w:ascii="宋体" w:hAnsi="宋体"/>
                <w:b/>
                <w:bCs/>
                <w:color w:val="000000"/>
                <w:szCs w:val="21"/>
              </w:rPr>
            </w:pPr>
            <w:r>
              <w:rPr>
                <w:rFonts w:hint="eastAsia" w:ascii="宋体" w:hAnsi="宋体"/>
                <w:b/>
                <w:bCs/>
                <w:color w:val="000000"/>
                <w:szCs w:val="21"/>
              </w:rPr>
              <w:t>金额（万元）</w:t>
            </w:r>
          </w:p>
        </w:tc>
      </w:tr>
      <w:tr w14:paraId="7C70FA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268" w:type="dxa"/>
            <w:vAlign w:val="center"/>
          </w:tcPr>
          <w:p w14:paraId="10D85CB3">
            <w:pPr>
              <w:spacing w:line="240" w:lineRule="atLeast"/>
              <w:jc w:val="center"/>
              <w:rPr>
                <w:rFonts w:ascii="宋体" w:hAnsi="宋体"/>
                <w:color w:val="000000"/>
                <w:szCs w:val="21"/>
              </w:rPr>
            </w:pPr>
            <w:r>
              <w:rPr>
                <w:rFonts w:hint="eastAsia" w:ascii="宋体" w:hAnsi="宋体" w:cs="华文中宋"/>
                <w:kern w:val="0"/>
                <w:szCs w:val="21"/>
              </w:rPr>
              <w:t>赈灾济贫</w:t>
            </w:r>
          </w:p>
        </w:tc>
        <w:tc>
          <w:tcPr>
            <w:tcW w:w="3746" w:type="dxa"/>
            <w:vAlign w:val="center"/>
          </w:tcPr>
          <w:p w14:paraId="73576570">
            <w:pPr>
              <w:spacing w:line="240" w:lineRule="atLeast"/>
              <w:ind w:left="210" w:hanging="210" w:hangingChars="100"/>
              <w:jc w:val="center"/>
              <w:rPr>
                <w:rFonts w:ascii="宋体" w:hAnsi="宋体"/>
                <w:color w:val="000000"/>
                <w:szCs w:val="21"/>
              </w:rPr>
            </w:pPr>
            <w:r>
              <w:rPr>
                <w:rFonts w:hint="eastAsia" w:ascii="宋体" w:hAnsi="宋体" w:cs="宋体"/>
                <w:color w:val="000000"/>
                <w:kern w:val="0"/>
                <w:szCs w:val="21"/>
              </w:rPr>
              <w:t>近三年路桥玉露洋村</w:t>
            </w:r>
            <w:r>
              <w:rPr>
                <w:rFonts w:hint="eastAsia" w:ascii="宋体" w:hAnsi="宋体"/>
                <w:szCs w:val="21"/>
              </w:rPr>
              <w:t>共建礼品</w:t>
            </w:r>
          </w:p>
        </w:tc>
        <w:tc>
          <w:tcPr>
            <w:tcW w:w="2633" w:type="dxa"/>
            <w:vAlign w:val="center"/>
          </w:tcPr>
          <w:p w14:paraId="605D59D8">
            <w:pPr>
              <w:spacing w:line="240" w:lineRule="atLeast"/>
              <w:jc w:val="center"/>
              <w:rPr>
                <w:rFonts w:ascii="宋体" w:hAnsi="宋体"/>
                <w:color w:val="000000"/>
                <w:szCs w:val="21"/>
              </w:rPr>
            </w:pPr>
            <w:r>
              <w:rPr>
                <w:rFonts w:hint="eastAsia" w:ascii="宋体" w:hAnsi="宋体"/>
                <w:szCs w:val="21"/>
              </w:rPr>
              <w:t>8.6</w:t>
            </w:r>
          </w:p>
        </w:tc>
      </w:tr>
      <w:tr w14:paraId="689C9A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268" w:type="dxa"/>
            <w:vAlign w:val="center"/>
          </w:tcPr>
          <w:p w14:paraId="2027CB5E">
            <w:pPr>
              <w:spacing w:line="240" w:lineRule="atLeast"/>
              <w:jc w:val="center"/>
              <w:rPr>
                <w:rFonts w:ascii="宋体" w:hAnsi="宋体"/>
                <w:color w:val="000000"/>
                <w:szCs w:val="21"/>
              </w:rPr>
            </w:pPr>
            <w:r>
              <w:rPr>
                <w:rFonts w:hint="eastAsia" w:ascii="宋体" w:hAnsi="宋体" w:cs="华文中宋"/>
                <w:kern w:val="0"/>
                <w:szCs w:val="21"/>
              </w:rPr>
              <w:t>赈灾济贫</w:t>
            </w:r>
          </w:p>
        </w:tc>
        <w:tc>
          <w:tcPr>
            <w:tcW w:w="3746" w:type="dxa"/>
            <w:vAlign w:val="center"/>
          </w:tcPr>
          <w:p w14:paraId="22EE2893">
            <w:pPr>
              <w:spacing w:line="240" w:lineRule="atLeast"/>
              <w:ind w:left="210" w:hanging="210" w:hangingChars="100"/>
              <w:jc w:val="center"/>
              <w:rPr>
                <w:rFonts w:ascii="宋体" w:hAnsi="宋体"/>
                <w:color w:val="000000"/>
                <w:szCs w:val="21"/>
              </w:rPr>
            </w:pPr>
            <w:r>
              <w:rPr>
                <w:rFonts w:hint="eastAsia" w:ascii="宋体" w:hAnsi="宋体" w:cs="宋体"/>
                <w:color w:val="000000"/>
                <w:kern w:val="0"/>
                <w:szCs w:val="21"/>
              </w:rPr>
              <w:t>金秋助学活动</w:t>
            </w:r>
          </w:p>
        </w:tc>
        <w:tc>
          <w:tcPr>
            <w:tcW w:w="2633" w:type="dxa"/>
            <w:vAlign w:val="center"/>
          </w:tcPr>
          <w:p w14:paraId="628B9B83">
            <w:pPr>
              <w:spacing w:line="240" w:lineRule="atLeast"/>
              <w:jc w:val="center"/>
              <w:rPr>
                <w:rFonts w:ascii="宋体" w:hAnsi="宋体"/>
                <w:color w:val="000000"/>
                <w:szCs w:val="21"/>
              </w:rPr>
            </w:pPr>
            <w:r>
              <w:rPr>
                <w:rFonts w:hint="eastAsia" w:ascii="宋体" w:hAnsi="宋体"/>
                <w:szCs w:val="21"/>
              </w:rPr>
              <w:t>0.3</w:t>
            </w:r>
          </w:p>
        </w:tc>
      </w:tr>
      <w:tr w14:paraId="30DA42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268" w:type="dxa"/>
            <w:vAlign w:val="center"/>
          </w:tcPr>
          <w:p w14:paraId="3CB439EC">
            <w:pPr>
              <w:spacing w:line="240" w:lineRule="atLeast"/>
              <w:jc w:val="center"/>
              <w:rPr>
                <w:rFonts w:hint="eastAsia" w:ascii="宋体" w:hAnsi="宋体" w:cs="华文中宋"/>
                <w:kern w:val="0"/>
                <w:szCs w:val="21"/>
              </w:rPr>
            </w:pPr>
            <w:r>
              <w:rPr>
                <w:rFonts w:hint="eastAsia" w:ascii="宋体" w:hAnsi="宋体" w:cs="华文中宋"/>
                <w:kern w:val="0"/>
                <w:szCs w:val="21"/>
              </w:rPr>
              <w:t>赈灾济贫</w:t>
            </w:r>
          </w:p>
        </w:tc>
        <w:tc>
          <w:tcPr>
            <w:tcW w:w="3746" w:type="dxa"/>
            <w:vAlign w:val="center"/>
          </w:tcPr>
          <w:p w14:paraId="555896A4">
            <w:pPr>
              <w:spacing w:line="240" w:lineRule="atLeast"/>
              <w:ind w:left="210" w:hanging="210" w:hangingChars="100"/>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白岳居家养老服务照料中心物资捐赠</w:t>
            </w:r>
          </w:p>
        </w:tc>
        <w:tc>
          <w:tcPr>
            <w:tcW w:w="2633" w:type="dxa"/>
            <w:vAlign w:val="center"/>
          </w:tcPr>
          <w:p w14:paraId="6F0EF9CC">
            <w:pPr>
              <w:spacing w:line="240" w:lineRule="atLeast"/>
              <w:jc w:val="center"/>
              <w:rPr>
                <w:rFonts w:hint="default" w:ascii="宋体" w:hAnsi="宋体" w:eastAsia="宋体"/>
                <w:szCs w:val="21"/>
                <w:lang w:val="en-US" w:eastAsia="zh-CN"/>
              </w:rPr>
            </w:pPr>
            <w:r>
              <w:rPr>
                <w:rFonts w:hint="eastAsia" w:ascii="宋体" w:hAnsi="宋体"/>
                <w:szCs w:val="21"/>
                <w:lang w:val="en-US" w:eastAsia="zh-CN"/>
              </w:rPr>
              <w:t>1.0</w:t>
            </w:r>
          </w:p>
        </w:tc>
      </w:tr>
    </w:tbl>
    <w:p w14:paraId="0E03D38A">
      <w:pPr>
        <w:spacing w:before="156" w:beforeLines="50" w:line="360" w:lineRule="auto"/>
        <w:ind w:firstLine="361" w:firstLineChars="150"/>
        <w:outlineLvl w:val="1"/>
        <w:rPr>
          <w:rFonts w:cs="仿宋_GB2312" w:asciiTheme="minorEastAsia" w:hAnsiTheme="minorEastAsia" w:eastAsiaTheme="minorEastAsia"/>
          <w:b/>
          <w:bCs/>
          <w:color w:val="000000" w:themeColor="text1"/>
          <w:sz w:val="24"/>
        </w:rPr>
      </w:pPr>
      <w:bookmarkStart w:id="62" w:name="_Toc2948"/>
      <w:r>
        <w:rPr>
          <w:rFonts w:hint="eastAsia" w:cs="仿宋_GB2312" w:asciiTheme="minorEastAsia" w:hAnsiTheme="minorEastAsia" w:eastAsiaTheme="minorEastAsia"/>
          <w:b/>
          <w:bCs/>
          <w:color w:val="000000" w:themeColor="text1"/>
          <w:sz w:val="24"/>
        </w:rPr>
        <w:t>（四）质量信用记录</w:t>
      </w:r>
      <w:bookmarkEnd w:id="62"/>
    </w:p>
    <w:p w14:paraId="7F8BE6A9">
      <w:pPr>
        <w:pStyle w:val="11"/>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公司自建立以来，公司从未出现过重大质量投诉，在历年接受各级质量技术部门的抽检中，合格率均达100%。</w:t>
      </w:r>
      <w:r>
        <w:rPr>
          <w:rFonts w:hint="eastAsia" w:ascii="宋体" w:hAnsi="宋体" w:cs="宋体"/>
          <w:szCs w:val="21"/>
        </w:rPr>
        <w:t>同时公司</w:t>
      </w:r>
      <w:r>
        <w:rPr>
          <w:rFonts w:ascii="宋体" w:hAnsi="宋体" w:cs="宋体"/>
          <w:szCs w:val="21"/>
        </w:rPr>
        <w:t>取得了许多的卓越成绩，多次获得各级政府主管部门和行业协会的表彰和奖励，近</w:t>
      </w:r>
      <w:r>
        <w:rPr>
          <w:rFonts w:hint="eastAsia" w:ascii="宋体" w:hAnsi="宋体" w:cs="宋体"/>
          <w:szCs w:val="21"/>
        </w:rPr>
        <w:t>几</w:t>
      </w:r>
      <w:r>
        <w:rPr>
          <w:rFonts w:ascii="宋体" w:hAnsi="宋体" w:cs="宋体"/>
          <w:szCs w:val="21"/>
        </w:rPr>
        <w:t>年获奖情况如下：</w:t>
      </w:r>
    </w:p>
    <w:p w14:paraId="5216AD68">
      <w:pPr>
        <w:spacing w:before="156" w:beforeLines="50"/>
        <w:jc w:val="center"/>
        <w:rPr>
          <w:rFonts w:cs="仿宋_GB2312" w:asciiTheme="minorEastAsia" w:hAnsiTheme="minorEastAsia" w:eastAsiaTheme="minorEastAsia"/>
          <w:b/>
          <w:bCs/>
          <w:szCs w:val="21"/>
        </w:rPr>
      </w:pPr>
      <w:r>
        <w:rPr>
          <w:rFonts w:hint="eastAsia" w:cs="仿宋_GB2312" w:asciiTheme="minorEastAsia" w:hAnsiTheme="minorEastAsia" w:eastAsiaTheme="minorEastAsia"/>
          <w:b/>
          <w:bCs/>
          <w:szCs w:val="21"/>
        </w:rPr>
        <w:t>图表13 近年来获奖情况</w:t>
      </w:r>
    </w:p>
    <w:tbl>
      <w:tblPr>
        <w:tblStyle w:val="24"/>
        <w:tblW w:w="861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3344"/>
        <w:gridCol w:w="1749"/>
        <w:gridCol w:w="3517"/>
      </w:tblGrid>
      <w:tr w14:paraId="00400F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3344" w:type="dxa"/>
            <w:shd w:val="clear" w:color="auto" w:fill="DBE5F1"/>
            <w:noWrap w:val="0"/>
            <w:vAlign w:val="center"/>
          </w:tcPr>
          <w:p w14:paraId="483380AB">
            <w:pPr>
              <w:jc w:val="center"/>
              <w:rPr>
                <w:rFonts w:ascii="宋体" w:hAnsi="宋体" w:cs="华文中宋"/>
                <w:b/>
                <w:bCs/>
                <w:spacing w:val="-4"/>
                <w:sz w:val="20"/>
                <w:szCs w:val="20"/>
              </w:rPr>
            </w:pPr>
            <w:r>
              <w:rPr>
                <w:rFonts w:hint="eastAsia" w:ascii="宋体" w:hAnsi="宋体" w:cs="华文中宋"/>
                <w:b/>
                <w:bCs/>
                <w:spacing w:val="-4"/>
                <w:sz w:val="20"/>
                <w:szCs w:val="20"/>
              </w:rPr>
              <w:t>获奖名称</w:t>
            </w:r>
          </w:p>
        </w:tc>
        <w:tc>
          <w:tcPr>
            <w:tcW w:w="1749" w:type="dxa"/>
            <w:shd w:val="clear" w:color="auto" w:fill="DBE5F1"/>
            <w:noWrap w:val="0"/>
            <w:vAlign w:val="center"/>
          </w:tcPr>
          <w:p w14:paraId="1D7A39F5">
            <w:pPr>
              <w:jc w:val="center"/>
              <w:rPr>
                <w:rFonts w:ascii="宋体" w:hAnsi="宋体" w:cs="华文中宋"/>
                <w:b/>
                <w:bCs/>
                <w:spacing w:val="-4"/>
                <w:sz w:val="20"/>
                <w:szCs w:val="20"/>
              </w:rPr>
            </w:pPr>
            <w:r>
              <w:rPr>
                <w:rFonts w:hint="eastAsia" w:ascii="宋体" w:hAnsi="宋体" w:cs="华文中宋"/>
                <w:b/>
                <w:bCs/>
                <w:spacing w:val="-4"/>
                <w:sz w:val="20"/>
                <w:szCs w:val="20"/>
              </w:rPr>
              <w:t>获奖时间</w:t>
            </w:r>
          </w:p>
        </w:tc>
        <w:tc>
          <w:tcPr>
            <w:tcW w:w="3517" w:type="dxa"/>
            <w:shd w:val="clear" w:color="auto" w:fill="DBE5F1"/>
            <w:noWrap w:val="0"/>
            <w:vAlign w:val="center"/>
          </w:tcPr>
          <w:p w14:paraId="65AA5181">
            <w:pPr>
              <w:ind w:left="-288" w:leftChars="-137" w:firstLine="202" w:firstLineChars="105"/>
              <w:jc w:val="center"/>
              <w:rPr>
                <w:rFonts w:ascii="宋体" w:hAnsi="宋体" w:cs="华文中宋"/>
                <w:b/>
                <w:bCs/>
                <w:spacing w:val="-4"/>
                <w:sz w:val="20"/>
                <w:szCs w:val="20"/>
              </w:rPr>
            </w:pPr>
            <w:r>
              <w:rPr>
                <w:rFonts w:hint="eastAsia" w:ascii="宋体" w:hAnsi="宋体" w:cs="华文中宋"/>
                <w:b/>
                <w:bCs/>
                <w:spacing w:val="-4"/>
                <w:sz w:val="20"/>
                <w:szCs w:val="20"/>
              </w:rPr>
              <w:t>颁奖部门</w:t>
            </w:r>
          </w:p>
        </w:tc>
      </w:tr>
      <w:tr w14:paraId="08AD2B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3344" w:type="dxa"/>
            <w:noWrap w:val="0"/>
            <w:vAlign w:val="center"/>
          </w:tcPr>
          <w:p w14:paraId="5D01E415">
            <w:pPr>
              <w:jc w:val="center"/>
              <w:rPr>
                <w:rFonts w:hint="default" w:ascii="宋体" w:eastAsia="宋体"/>
                <w:color w:val="000000"/>
                <w:sz w:val="20"/>
                <w:szCs w:val="20"/>
                <w:lang w:val="en-US" w:eastAsia="zh-CN"/>
              </w:rPr>
            </w:pPr>
            <w:r>
              <w:rPr>
                <w:rFonts w:hint="eastAsia" w:ascii="宋体"/>
                <w:color w:val="000000"/>
                <w:sz w:val="20"/>
                <w:szCs w:val="20"/>
                <w:lang w:val="en-US" w:eastAsia="zh-CN"/>
              </w:rPr>
              <w:t>浙江省创新型中小企业</w:t>
            </w:r>
          </w:p>
        </w:tc>
        <w:tc>
          <w:tcPr>
            <w:tcW w:w="1749" w:type="dxa"/>
            <w:noWrap w:val="0"/>
            <w:vAlign w:val="center"/>
          </w:tcPr>
          <w:p w14:paraId="02085DA9">
            <w:pPr>
              <w:jc w:val="center"/>
              <w:rPr>
                <w:rFonts w:hint="default" w:ascii="宋体" w:eastAsia="宋体"/>
                <w:color w:val="000000"/>
                <w:sz w:val="20"/>
                <w:szCs w:val="20"/>
                <w:lang w:val="en-US" w:eastAsia="zh-CN"/>
              </w:rPr>
            </w:pPr>
            <w:r>
              <w:rPr>
                <w:rFonts w:hint="eastAsia" w:ascii="宋体"/>
                <w:color w:val="000000"/>
                <w:sz w:val="20"/>
                <w:szCs w:val="20"/>
                <w:lang w:val="en-US" w:eastAsia="zh-CN"/>
              </w:rPr>
              <w:t>2025.12</w:t>
            </w:r>
          </w:p>
        </w:tc>
        <w:tc>
          <w:tcPr>
            <w:tcW w:w="3517" w:type="dxa"/>
            <w:noWrap w:val="0"/>
            <w:vAlign w:val="center"/>
          </w:tcPr>
          <w:p w14:paraId="2A87D9D4">
            <w:pPr>
              <w:jc w:val="center"/>
              <w:rPr>
                <w:rFonts w:hint="default" w:ascii="宋体" w:eastAsia="宋体"/>
                <w:color w:val="000000"/>
                <w:sz w:val="20"/>
                <w:szCs w:val="20"/>
                <w:lang w:val="en-US" w:eastAsia="zh-CN"/>
              </w:rPr>
            </w:pPr>
            <w:r>
              <w:rPr>
                <w:rFonts w:hint="eastAsia" w:ascii="宋体"/>
                <w:color w:val="000000"/>
                <w:sz w:val="20"/>
                <w:szCs w:val="20"/>
                <w:lang w:val="en-US" w:eastAsia="zh-CN"/>
              </w:rPr>
              <w:t>浙江省经济和信息化厅</w:t>
            </w:r>
          </w:p>
        </w:tc>
      </w:tr>
      <w:tr w14:paraId="12BC10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3344" w:type="dxa"/>
            <w:noWrap w:val="0"/>
            <w:vAlign w:val="center"/>
          </w:tcPr>
          <w:p w14:paraId="01BE9D8B">
            <w:pPr>
              <w:jc w:val="center"/>
              <w:rPr>
                <w:rFonts w:ascii="宋体"/>
                <w:color w:val="000000"/>
                <w:sz w:val="20"/>
                <w:szCs w:val="20"/>
              </w:rPr>
            </w:pPr>
            <w:r>
              <w:rPr>
                <w:rFonts w:hint="eastAsia" w:ascii="宋体"/>
                <w:color w:val="000000"/>
                <w:sz w:val="20"/>
                <w:szCs w:val="20"/>
              </w:rPr>
              <w:t>浙江制造“品”字标认证</w:t>
            </w:r>
          </w:p>
        </w:tc>
        <w:tc>
          <w:tcPr>
            <w:tcW w:w="1749" w:type="dxa"/>
            <w:noWrap w:val="0"/>
            <w:vAlign w:val="center"/>
          </w:tcPr>
          <w:p w14:paraId="668F63E0">
            <w:pPr>
              <w:jc w:val="center"/>
              <w:rPr>
                <w:rFonts w:ascii="宋体"/>
                <w:color w:val="000000"/>
                <w:sz w:val="20"/>
                <w:szCs w:val="20"/>
              </w:rPr>
            </w:pPr>
            <w:r>
              <w:rPr>
                <w:rFonts w:hint="eastAsia" w:ascii="宋体"/>
                <w:color w:val="000000"/>
                <w:sz w:val="20"/>
                <w:szCs w:val="20"/>
              </w:rPr>
              <w:t>2020年</w:t>
            </w:r>
          </w:p>
        </w:tc>
        <w:tc>
          <w:tcPr>
            <w:tcW w:w="3517" w:type="dxa"/>
            <w:noWrap w:val="0"/>
            <w:vAlign w:val="center"/>
          </w:tcPr>
          <w:p w14:paraId="249D6202">
            <w:pPr>
              <w:jc w:val="center"/>
              <w:rPr>
                <w:rFonts w:ascii="宋体"/>
                <w:color w:val="000000"/>
                <w:sz w:val="20"/>
                <w:szCs w:val="20"/>
              </w:rPr>
            </w:pPr>
            <w:r>
              <w:rPr>
                <w:rFonts w:ascii="宋体"/>
                <w:color w:val="000000"/>
                <w:sz w:val="20"/>
                <w:szCs w:val="20"/>
              </w:rPr>
              <w:t>浙江省品牌建设联合会</w:t>
            </w:r>
          </w:p>
        </w:tc>
      </w:tr>
      <w:tr w14:paraId="1D39AF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3344" w:type="dxa"/>
            <w:noWrap w:val="0"/>
            <w:vAlign w:val="center"/>
          </w:tcPr>
          <w:p w14:paraId="57A76126">
            <w:pPr>
              <w:jc w:val="center"/>
              <w:rPr>
                <w:rFonts w:ascii="宋体"/>
                <w:color w:val="000000"/>
                <w:sz w:val="20"/>
                <w:szCs w:val="20"/>
              </w:rPr>
            </w:pPr>
            <w:r>
              <w:rPr>
                <w:rFonts w:hint="eastAsia" w:ascii="宋体"/>
                <w:color w:val="000000"/>
                <w:sz w:val="20"/>
                <w:szCs w:val="20"/>
              </w:rPr>
              <w:t>浙江名牌产品证书</w:t>
            </w:r>
          </w:p>
        </w:tc>
        <w:tc>
          <w:tcPr>
            <w:tcW w:w="1749" w:type="dxa"/>
            <w:noWrap w:val="0"/>
            <w:vAlign w:val="center"/>
          </w:tcPr>
          <w:p w14:paraId="284E80FB">
            <w:pPr>
              <w:jc w:val="center"/>
              <w:rPr>
                <w:rFonts w:ascii="宋体"/>
                <w:color w:val="000000"/>
                <w:sz w:val="20"/>
                <w:szCs w:val="20"/>
              </w:rPr>
            </w:pPr>
            <w:r>
              <w:rPr>
                <w:rFonts w:hint="eastAsia" w:ascii="宋体"/>
                <w:color w:val="000000"/>
                <w:sz w:val="20"/>
                <w:szCs w:val="20"/>
              </w:rPr>
              <w:t>2019.12</w:t>
            </w:r>
          </w:p>
        </w:tc>
        <w:tc>
          <w:tcPr>
            <w:tcW w:w="3517" w:type="dxa"/>
            <w:noWrap w:val="0"/>
            <w:vAlign w:val="center"/>
          </w:tcPr>
          <w:p w14:paraId="5F656F14">
            <w:pPr>
              <w:jc w:val="center"/>
              <w:rPr>
                <w:rFonts w:ascii="宋体"/>
                <w:color w:val="000000"/>
                <w:sz w:val="20"/>
                <w:szCs w:val="20"/>
              </w:rPr>
            </w:pPr>
            <w:r>
              <w:rPr>
                <w:rFonts w:hint="eastAsia" w:ascii="宋体"/>
                <w:color w:val="000000"/>
                <w:sz w:val="20"/>
                <w:szCs w:val="20"/>
              </w:rPr>
              <w:t>浙江省质量技术监督局</w:t>
            </w:r>
          </w:p>
        </w:tc>
      </w:tr>
      <w:tr w14:paraId="0FABF5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3344" w:type="dxa"/>
            <w:noWrap w:val="0"/>
            <w:vAlign w:val="center"/>
          </w:tcPr>
          <w:p w14:paraId="06A653A1">
            <w:pPr>
              <w:jc w:val="center"/>
              <w:rPr>
                <w:rFonts w:ascii="宋体"/>
                <w:color w:val="000000"/>
                <w:sz w:val="20"/>
                <w:szCs w:val="20"/>
              </w:rPr>
            </w:pPr>
            <w:r>
              <w:rPr>
                <w:rFonts w:hint="eastAsia" w:ascii="宋体"/>
                <w:color w:val="000000"/>
                <w:sz w:val="20"/>
                <w:szCs w:val="20"/>
              </w:rPr>
              <w:t>知识产权管理体系认证证书</w:t>
            </w:r>
          </w:p>
        </w:tc>
        <w:tc>
          <w:tcPr>
            <w:tcW w:w="1749" w:type="dxa"/>
            <w:noWrap w:val="0"/>
            <w:vAlign w:val="center"/>
          </w:tcPr>
          <w:p w14:paraId="070F5DD6">
            <w:pPr>
              <w:jc w:val="center"/>
              <w:rPr>
                <w:rFonts w:ascii="宋体"/>
                <w:color w:val="000000"/>
                <w:sz w:val="20"/>
                <w:szCs w:val="20"/>
              </w:rPr>
            </w:pPr>
            <w:r>
              <w:rPr>
                <w:rFonts w:hint="eastAsia" w:ascii="宋体"/>
                <w:color w:val="000000"/>
                <w:sz w:val="20"/>
                <w:szCs w:val="20"/>
              </w:rPr>
              <w:t>2018.12.03</w:t>
            </w:r>
          </w:p>
        </w:tc>
        <w:tc>
          <w:tcPr>
            <w:tcW w:w="3517" w:type="dxa"/>
            <w:noWrap w:val="0"/>
            <w:vAlign w:val="center"/>
          </w:tcPr>
          <w:p w14:paraId="24890107">
            <w:pPr>
              <w:jc w:val="center"/>
              <w:rPr>
                <w:rFonts w:ascii="宋体"/>
                <w:color w:val="000000"/>
                <w:sz w:val="20"/>
                <w:szCs w:val="20"/>
              </w:rPr>
            </w:pPr>
            <w:r>
              <w:rPr>
                <w:rFonts w:hint="eastAsia" w:ascii="宋体"/>
                <w:color w:val="000000"/>
                <w:sz w:val="20"/>
                <w:szCs w:val="20"/>
              </w:rPr>
              <w:t>中规（北京）认证有限公司</w:t>
            </w:r>
          </w:p>
        </w:tc>
      </w:tr>
      <w:tr w14:paraId="0F3850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3344" w:type="dxa"/>
            <w:noWrap w:val="0"/>
            <w:vAlign w:val="center"/>
          </w:tcPr>
          <w:p w14:paraId="7ABB7BA8">
            <w:pPr>
              <w:jc w:val="center"/>
              <w:rPr>
                <w:rFonts w:ascii="宋体"/>
                <w:color w:val="000000"/>
                <w:sz w:val="20"/>
                <w:szCs w:val="20"/>
              </w:rPr>
            </w:pPr>
            <w:r>
              <w:rPr>
                <w:rFonts w:hint="eastAsia" w:ascii="宋体"/>
                <w:color w:val="000000"/>
                <w:sz w:val="20"/>
                <w:szCs w:val="20"/>
              </w:rPr>
              <w:t>PCCC产品认证证书</w:t>
            </w:r>
          </w:p>
        </w:tc>
        <w:tc>
          <w:tcPr>
            <w:tcW w:w="1749" w:type="dxa"/>
            <w:noWrap w:val="0"/>
            <w:vAlign w:val="center"/>
          </w:tcPr>
          <w:p w14:paraId="0D18F9F9">
            <w:pPr>
              <w:jc w:val="center"/>
              <w:rPr>
                <w:rFonts w:ascii="宋体"/>
                <w:color w:val="000000"/>
                <w:sz w:val="20"/>
                <w:szCs w:val="20"/>
              </w:rPr>
            </w:pPr>
            <w:r>
              <w:rPr>
                <w:rFonts w:hint="eastAsia" w:ascii="宋体"/>
                <w:color w:val="000000"/>
                <w:sz w:val="20"/>
                <w:szCs w:val="20"/>
              </w:rPr>
              <w:t>2019.5.13</w:t>
            </w:r>
          </w:p>
        </w:tc>
        <w:tc>
          <w:tcPr>
            <w:tcW w:w="3517" w:type="dxa"/>
            <w:noWrap w:val="0"/>
            <w:vAlign w:val="center"/>
          </w:tcPr>
          <w:p w14:paraId="7FB5EA7C">
            <w:pPr>
              <w:jc w:val="center"/>
              <w:rPr>
                <w:rFonts w:ascii="宋体"/>
                <w:color w:val="000000"/>
                <w:sz w:val="20"/>
                <w:szCs w:val="20"/>
              </w:rPr>
            </w:pPr>
            <w:r>
              <w:rPr>
                <w:rFonts w:hint="eastAsia" w:ascii="宋体"/>
                <w:color w:val="000000"/>
                <w:sz w:val="20"/>
                <w:szCs w:val="20"/>
              </w:rPr>
              <w:t>电能（北京）认证中心有限公司</w:t>
            </w:r>
          </w:p>
        </w:tc>
      </w:tr>
      <w:tr w14:paraId="7842EE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3344" w:type="dxa"/>
            <w:noWrap w:val="0"/>
            <w:vAlign w:val="center"/>
          </w:tcPr>
          <w:p w14:paraId="0518BC83">
            <w:pPr>
              <w:rPr>
                <w:sz w:val="20"/>
                <w:szCs w:val="20"/>
              </w:rPr>
            </w:pPr>
            <w:r>
              <w:rPr>
                <w:rFonts w:hint="eastAsia"/>
                <w:sz w:val="20"/>
                <w:szCs w:val="20"/>
              </w:rPr>
              <w:t>浙江省电线线缆行业协会会员证书</w:t>
            </w:r>
          </w:p>
        </w:tc>
        <w:tc>
          <w:tcPr>
            <w:tcW w:w="1749" w:type="dxa"/>
            <w:noWrap w:val="0"/>
            <w:vAlign w:val="center"/>
          </w:tcPr>
          <w:p w14:paraId="2B28BBD1">
            <w:pPr>
              <w:jc w:val="center"/>
              <w:rPr>
                <w:rFonts w:ascii="宋体"/>
                <w:color w:val="000000"/>
                <w:sz w:val="20"/>
                <w:szCs w:val="20"/>
              </w:rPr>
            </w:pPr>
            <w:r>
              <w:rPr>
                <w:rFonts w:hint="eastAsia" w:ascii="宋体"/>
                <w:color w:val="000000"/>
                <w:sz w:val="20"/>
                <w:szCs w:val="20"/>
              </w:rPr>
              <w:t>2019.4</w:t>
            </w:r>
          </w:p>
        </w:tc>
        <w:tc>
          <w:tcPr>
            <w:tcW w:w="3517" w:type="dxa"/>
            <w:noWrap w:val="0"/>
            <w:vAlign w:val="center"/>
          </w:tcPr>
          <w:p w14:paraId="6E06F70D">
            <w:pPr>
              <w:jc w:val="center"/>
              <w:rPr>
                <w:sz w:val="20"/>
                <w:szCs w:val="20"/>
              </w:rPr>
            </w:pPr>
            <w:r>
              <w:rPr>
                <w:rFonts w:hint="eastAsia"/>
                <w:sz w:val="20"/>
                <w:szCs w:val="20"/>
              </w:rPr>
              <w:t>浙江省电线电缆行业协会</w:t>
            </w:r>
          </w:p>
        </w:tc>
      </w:tr>
      <w:tr w14:paraId="3DAC69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3344" w:type="dxa"/>
            <w:noWrap w:val="0"/>
            <w:vAlign w:val="center"/>
          </w:tcPr>
          <w:p w14:paraId="5D416967">
            <w:pPr>
              <w:jc w:val="center"/>
              <w:rPr>
                <w:rFonts w:ascii="宋体" w:hAnsi="宋体" w:cs="华文中宋"/>
                <w:spacing w:val="-4"/>
                <w:sz w:val="20"/>
                <w:szCs w:val="20"/>
              </w:rPr>
            </w:pPr>
            <w:r>
              <w:rPr>
                <w:rFonts w:hint="eastAsia" w:ascii="宋体" w:hAnsi="宋体" w:cs="华文中宋"/>
                <w:spacing w:val="-4"/>
                <w:sz w:val="20"/>
                <w:szCs w:val="20"/>
              </w:rPr>
              <w:t xml:space="preserve">AAA级“守合同重信用”企业 </w:t>
            </w:r>
          </w:p>
        </w:tc>
        <w:tc>
          <w:tcPr>
            <w:tcW w:w="1749" w:type="dxa"/>
            <w:noWrap w:val="0"/>
            <w:vAlign w:val="center"/>
          </w:tcPr>
          <w:p w14:paraId="549352F6">
            <w:pPr>
              <w:jc w:val="center"/>
              <w:rPr>
                <w:rFonts w:ascii="宋体" w:hAnsi="宋体" w:cs="华文中宋"/>
                <w:spacing w:val="-4"/>
                <w:sz w:val="20"/>
                <w:szCs w:val="20"/>
              </w:rPr>
            </w:pPr>
            <w:r>
              <w:rPr>
                <w:rFonts w:hint="eastAsia" w:ascii="宋体" w:hAnsi="宋体" w:cs="华文中宋"/>
                <w:spacing w:val="-4"/>
                <w:sz w:val="20"/>
                <w:szCs w:val="20"/>
              </w:rPr>
              <w:t>2018.7</w:t>
            </w:r>
          </w:p>
        </w:tc>
        <w:tc>
          <w:tcPr>
            <w:tcW w:w="3517" w:type="dxa"/>
            <w:noWrap w:val="0"/>
            <w:vAlign w:val="center"/>
          </w:tcPr>
          <w:p w14:paraId="6647BFF0">
            <w:pPr>
              <w:jc w:val="center"/>
              <w:rPr>
                <w:rFonts w:ascii="宋体" w:hAnsi="宋体" w:cs="华文中宋"/>
                <w:spacing w:val="-4"/>
                <w:sz w:val="20"/>
                <w:szCs w:val="20"/>
              </w:rPr>
            </w:pPr>
            <w:r>
              <w:rPr>
                <w:rFonts w:hint="eastAsia" w:ascii="宋体" w:hAnsi="宋体" w:cs="华文中宋"/>
                <w:spacing w:val="-4"/>
                <w:sz w:val="20"/>
                <w:szCs w:val="20"/>
              </w:rPr>
              <w:t xml:space="preserve">浙江省工商行政管理局 </w:t>
            </w:r>
          </w:p>
        </w:tc>
      </w:tr>
    </w:tbl>
    <w:p w14:paraId="6EB9E68D">
      <w:pPr>
        <w:pStyle w:val="2"/>
        <w:ind w:firstLine="0" w:firstLineChars="0"/>
      </w:pPr>
    </w:p>
    <w:p w14:paraId="29A03ECC">
      <w:pPr>
        <w:spacing w:line="360" w:lineRule="auto"/>
        <w:rPr>
          <w:rFonts w:cs="仿宋_GB2312" w:asciiTheme="minorEastAsia" w:hAnsiTheme="minorEastAsia" w:eastAsiaTheme="minorEastAsia"/>
          <w:b/>
          <w:bCs/>
          <w:color w:val="000000" w:themeColor="text1"/>
          <w:sz w:val="44"/>
          <w:szCs w:val="44"/>
        </w:rPr>
      </w:pPr>
    </w:p>
    <w:p w14:paraId="6DBF6580">
      <w:pPr>
        <w:keepNext/>
        <w:keepLines/>
        <w:spacing w:line="276" w:lineRule="auto"/>
        <w:jc w:val="center"/>
        <w:rPr>
          <w:rFonts w:cs="宋体" w:asciiTheme="minorEastAsia" w:hAnsiTheme="minorEastAsia" w:eastAsiaTheme="minorEastAsia"/>
          <w:b/>
          <w:bCs/>
          <w:color w:val="000000" w:themeColor="text1"/>
          <w:kern w:val="32"/>
          <w:sz w:val="44"/>
          <w:szCs w:val="44"/>
        </w:rPr>
      </w:pPr>
    </w:p>
    <w:p w14:paraId="11F41E7F">
      <w:pPr>
        <w:rPr>
          <w:rFonts w:cs="宋体" w:asciiTheme="minorEastAsia" w:hAnsiTheme="minorEastAsia" w:eastAsiaTheme="minorEastAsia"/>
          <w:b/>
          <w:bCs/>
          <w:color w:val="000000" w:themeColor="text1"/>
          <w:kern w:val="32"/>
          <w:sz w:val="44"/>
          <w:szCs w:val="44"/>
        </w:rPr>
      </w:pPr>
      <w:r>
        <w:rPr>
          <w:rFonts w:hint="eastAsia" w:cs="宋体" w:asciiTheme="minorEastAsia" w:hAnsiTheme="minorEastAsia" w:eastAsiaTheme="minorEastAsia"/>
          <w:b/>
          <w:bCs/>
          <w:color w:val="000000" w:themeColor="text1"/>
          <w:kern w:val="32"/>
          <w:sz w:val="44"/>
          <w:szCs w:val="44"/>
        </w:rPr>
        <w:br w:type="page"/>
      </w:r>
    </w:p>
    <w:p w14:paraId="4A69FC95">
      <w:pPr>
        <w:keepNext/>
        <w:keepLines/>
        <w:spacing w:line="276" w:lineRule="auto"/>
        <w:jc w:val="center"/>
        <w:outlineLvl w:val="0"/>
        <w:rPr>
          <w:rFonts w:cs="宋体" w:asciiTheme="minorEastAsia" w:hAnsiTheme="minorEastAsia" w:eastAsiaTheme="minorEastAsia"/>
          <w:b/>
          <w:bCs/>
          <w:color w:val="000000" w:themeColor="text1"/>
          <w:kern w:val="32"/>
          <w:sz w:val="44"/>
          <w:szCs w:val="44"/>
        </w:rPr>
      </w:pPr>
      <w:bookmarkStart w:id="63" w:name="_Toc15550"/>
      <w:r>
        <w:rPr>
          <w:rFonts w:hint="eastAsia" w:cs="宋体" w:asciiTheme="minorEastAsia" w:hAnsiTheme="minorEastAsia" w:eastAsiaTheme="minorEastAsia"/>
          <w:b/>
          <w:bCs/>
          <w:color w:val="000000" w:themeColor="text1"/>
          <w:kern w:val="32"/>
          <w:sz w:val="44"/>
          <w:szCs w:val="44"/>
        </w:rPr>
        <w:t>报告结语</w:t>
      </w:r>
      <w:bookmarkEnd w:id="63"/>
    </w:p>
    <w:p w14:paraId="18A929B4">
      <w:pPr>
        <w:keepNext/>
        <w:keepLines/>
        <w:spacing w:line="276" w:lineRule="auto"/>
        <w:jc w:val="center"/>
        <w:rPr>
          <w:rFonts w:cs="宋体" w:asciiTheme="minorEastAsia" w:hAnsiTheme="minorEastAsia" w:eastAsiaTheme="minorEastAsia"/>
          <w:b/>
          <w:bCs/>
          <w:color w:val="000000" w:themeColor="text1"/>
          <w:kern w:val="32"/>
          <w:sz w:val="44"/>
          <w:szCs w:val="44"/>
        </w:rPr>
      </w:pPr>
    </w:p>
    <w:p w14:paraId="1E2CF0AD">
      <w:pPr>
        <w:spacing w:line="360" w:lineRule="auto"/>
        <w:ind w:firstLine="480" w:firstLineChars="200"/>
        <w:rPr>
          <w:rFonts w:cs="仿宋_GB2312" w:asciiTheme="minorEastAsia" w:hAnsiTheme="minorEastAsia" w:eastAsiaTheme="minorEastAsia"/>
          <w:color w:val="000000" w:themeColor="text1"/>
          <w:sz w:val="24"/>
        </w:rPr>
      </w:pPr>
      <w:r>
        <w:rPr>
          <w:rFonts w:hint="eastAsia" w:cs="仿宋_GB2312" w:asciiTheme="minorEastAsia" w:hAnsiTheme="minorEastAsia" w:eastAsiaTheme="minorEastAsia"/>
          <w:color w:val="000000" w:themeColor="text1"/>
          <w:sz w:val="24"/>
        </w:rPr>
        <w:t>质量诚信建设是全社会的共同责任，需要大家的共同努力。公司将继续努力奋斗，诚信经营，承担起企业质量安全第一责任人的责任，为行业健康有序和又好又快发展做出我们应有的贡献！</w:t>
      </w:r>
    </w:p>
    <w:sectPr>
      <w:pgSz w:w="11906" w:h="16838"/>
      <w:pgMar w:top="1440" w:right="1406"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AB310">
    <w:pPr>
      <w:pStyle w:val="17"/>
      <w:jc w:val="center"/>
    </w:pPr>
    <w: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sdt>
                <w:sdtPr>
                  <w:id w:val="7740412"/>
                </w:sdtPr>
                <w:sdtContent>
                  <w:p w14:paraId="1CD06E38">
                    <w:pPr>
                      <w:pStyle w:val="17"/>
                      <w:jc w:val="center"/>
                    </w:pPr>
                    <w:r>
                      <w:fldChar w:fldCharType="begin"/>
                    </w:r>
                    <w:r>
                      <w:instrText xml:space="preserve"> PAGE   \* MERGEFORMAT </w:instrText>
                    </w:r>
                    <w:r>
                      <w:fldChar w:fldCharType="separate"/>
                    </w:r>
                    <w:r>
                      <w:rPr>
                        <w:lang w:val="zh-CN"/>
                      </w:rPr>
                      <w:t>6</w:t>
                    </w:r>
                    <w:r>
                      <w:rPr>
                        <w:lang w:val="zh-CN"/>
                      </w:rPr>
                      <w:fldChar w:fldCharType="end"/>
                    </w:r>
                  </w:p>
                </w:sdtContent>
              </w:sdt>
              <w:p w14:paraId="555671F5">
                <w:pPr>
                  <w:pStyle w:val="2"/>
                  <w:ind w:firstLine="480"/>
                </w:pPr>
              </w:p>
            </w:txbxContent>
          </v:textbox>
        </v:shape>
      </w:pict>
    </w:r>
  </w:p>
  <w:p w14:paraId="3F0C11C4">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46C19">
    <w:pPr>
      <w:pStyle w:val="17"/>
    </w:pPr>
    <w:r>
      <w:pict>
        <v:shape id="_x0000_s2050" o:spid="_x0000_s2050"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14:paraId="2A051237">
                <w:pPr>
                  <w:pStyle w:val="17"/>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A89CF6">
    <w:pPr>
      <w:pStyle w:val="17"/>
      <w:jc w:val="center"/>
    </w:pPr>
    <w:r>
      <w:pict>
        <v:shape id="_x0000_s2051" o:spid="_x0000_s2051"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joinstyle="miter"/>
          <v:imagedata o:title=""/>
          <o:lock v:ext="edit"/>
          <v:textbox inset="0mm,0mm,0mm,0mm" style="mso-fit-shape-to-text:t;">
            <w:txbxContent>
              <w:sdt>
                <w:sdtPr>
                  <w:id w:val="-1"/>
                </w:sdtPr>
                <w:sdtContent>
                  <w:p w14:paraId="3534FDEF">
                    <w:pPr>
                      <w:pStyle w:val="17"/>
                      <w:jc w:val="center"/>
                    </w:pPr>
                    <w:r>
                      <w:fldChar w:fldCharType="begin"/>
                    </w:r>
                    <w:r>
                      <w:instrText xml:space="preserve"> PAGE   \* MERGEFORMAT </w:instrText>
                    </w:r>
                    <w:r>
                      <w:fldChar w:fldCharType="separate"/>
                    </w:r>
                    <w:r>
                      <w:rPr>
                        <w:lang w:val="zh-CN"/>
                      </w:rPr>
                      <w:t>2</w:t>
                    </w:r>
                    <w:r>
                      <w:rPr>
                        <w:lang w:val="zh-CN"/>
                      </w:rPr>
                      <w:fldChar w:fldCharType="end"/>
                    </w:r>
                  </w:p>
                </w:sdtContent>
              </w:sdt>
              <w:p w14:paraId="1A893DFB">
                <w:pPr>
                  <w:pStyle w:val="2"/>
                  <w:ind w:firstLine="480"/>
                </w:pPr>
              </w:p>
            </w:txbxContent>
          </v:textbox>
        </v:shape>
      </w:pict>
    </w:r>
  </w:p>
  <w:p w14:paraId="4DACA0B3">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78B65">
    <w:pPr>
      <w:pStyle w:val="18"/>
      <w:pBdr>
        <w:bottom w:val="single" w:color="auto" w:sz="4" w:space="0"/>
      </w:pBdr>
      <w:ind w:hanging="142"/>
      <w:jc w:val="both"/>
      <w:rPr>
        <w:sz w:val="21"/>
        <w:szCs w:val="21"/>
      </w:rPr>
    </w:pPr>
    <w:r>
      <w:drawing>
        <wp:inline distT="0" distB="0" distL="114300" distR="114300">
          <wp:extent cx="2838450" cy="462915"/>
          <wp:effectExtent l="0" t="0" r="635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2838450" cy="462915"/>
                  </a:xfrm>
                  <a:prstGeom prst="rect">
                    <a:avLst/>
                  </a:prstGeom>
                  <a:noFill/>
                  <a:ln>
                    <a:noFill/>
                  </a:ln>
                </pic:spPr>
              </pic:pic>
            </a:graphicData>
          </a:graphic>
        </wp:inline>
      </w:drawing>
    </w:r>
    <w:r>
      <w:rPr>
        <w:rFonts w:hint="eastAsia"/>
        <w:b/>
        <w:sz w:val="24"/>
      </w:rPr>
      <w:t xml:space="preserve">      </w:t>
    </w:r>
    <w:r>
      <w:rPr>
        <w:rFonts w:hint="eastAsia"/>
        <w:b/>
        <w:sz w:val="21"/>
        <w:szCs w:val="21"/>
      </w:rPr>
      <w:t xml:space="preserve">   “</w:t>
    </w:r>
    <w:r>
      <w:rPr>
        <w:rFonts w:hint="eastAsia"/>
        <w:sz w:val="21"/>
        <w:szCs w:val="21"/>
      </w:rPr>
      <w:t>浙江制造”认证质量诚信报告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699BCF"/>
    <w:multiLevelType w:val="singleLevel"/>
    <w:tmpl w:val="88699BCF"/>
    <w:lvl w:ilvl="0" w:tentative="0">
      <w:start w:val="1"/>
      <w:numFmt w:val="decimal"/>
      <w:lvlText w:val="%1)"/>
      <w:lvlJc w:val="left"/>
      <w:pPr>
        <w:ind w:left="425" w:hanging="425"/>
      </w:pPr>
      <w:rPr>
        <w:rFonts w:hint="default"/>
      </w:rPr>
    </w:lvl>
  </w:abstractNum>
  <w:abstractNum w:abstractNumId="1">
    <w:nsid w:val="1FC91163"/>
    <w:multiLevelType w:val="multilevel"/>
    <w:tmpl w:val="1FC91163"/>
    <w:lvl w:ilvl="0" w:tentative="0">
      <w:start w:val="1"/>
      <w:numFmt w:val="decimal"/>
      <w:pStyle w:val="37"/>
      <w:suff w:val="nothing"/>
      <w:lvlText w:val="%1　"/>
      <w:lvlJc w:val="left"/>
      <w:rPr>
        <w:rFonts w:hint="eastAsia" w:ascii="黑体" w:hAnsi="Times New Roman" w:eastAsia="黑体" w:cs="Times New Roman"/>
        <w:b w:val="0"/>
        <w:i w:val="0"/>
        <w:sz w:val="28"/>
        <w:szCs w:val="28"/>
      </w:rPr>
    </w:lvl>
    <w:lvl w:ilvl="1" w:tentative="0">
      <w:start w:val="1"/>
      <w:numFmt w:val="decimal"/>
      <w:pStyle w:val="36"/>
      <w:suff w:val="nothing"/>
      <w:lvlText w:val="%1.%2　"/>
      <w:lvlJc w:val="left"/>
      <w:pPr>
        <w:ind w:left="630"/>
      </w:pPr>
      <w:rPr>
        <w:rFonts w:hint="eastAsia" w:ascii="黑体" w:hAnsi="Times New Roman" w:eastAsia="黑体" w:cs="Times New Roman"/>
        <w:b w:val="0"/>
        <w:bCs w:val="0"/>
        <w:i w:val="0"/>
        <w:iCs w:val="0"/>
        <w:caps w:val="0"/>
        <w:strike w:val="0"/>
        <w:dstrike w:val="0"/>
        <w:color w:val="000000"/>
        <w:spacing w:val="0"/>
        <w:kern w:val="0"/>
        <w:position w:val="0"/>
        <w:sz w:val="21"/>
        <w:szCs w:val="21"/>
        <w:u w:val="none"/>
      </w:rPr>
    </w:lvl>
    <w:lvl w:ilvl="2" w:tentative="0">
      <w:start w:val="1"/>
      <w:numFmt w:val="decimal"/>
      <w:pStyle w:val="38"/>
      <w:suff w:val="nothing"/>
      <w:lvlText w:val="%1.%2.%3　"/>
      <w:lvlJc w:val="left"/>
      <w:pPr>
        <w:ind w:left="993"/>
      </w:pPr>
      <w:rPr>
        <w:rFonts w:hint="eastAsia" w:ascii="黑体" w:hAnsi="Times New Roman" w:eastAsia="黑体" w:cs="Times New Roman"/>
        <w:b w:val="0"/>
        <w:i w:val="0"/>
        <w:sz w:val="21"/>
      </w:rPr>
    </w:lvl>
    <w:lvl w:ilvl="3" w:tentative="0">
      <w:start w:val="1"/>
      <w:numFmt w:val="decimal"/>
      <w:pStyle w:val="40"/>
      <w:suff w:val="nothing"/>
      <w:lvlText w:val="%1.%2.%3.%4　"/>
      <w:lvlJc w:val="left"/>
      <w:pPr>
        <w:ind w:left="630"/>
      </w:pPr>
      <w:rPr>
        <w:rFonts w:hint="eastAsia" w:ascii="黑体" w:hAnsi="Times New Roman" w:eastAsia="黑体" w:cs="Times New Roman"/>
        <w:b w:val="0"/>
        <w:i w:val="0"/>
        <w:sz w:val="21"/>
      </w:rPr>
    </w:lvl>
    <w:lvl w:ilvl="4" w:tentative="0">
      <w:start w:val="1"/>
      <w:numFmt w:val="decimal"/>
      <w:pStyle w:val="42"/>
      <w:suff w:val="nothing"/>
      <w:lvlText w:val="%1.%2.%3.%4.%5　"/>
      <w:lvlJc w:val="left"/>
      <w:rPr>
        <w:rFonts w:hint="eastAsia" w:ascii="黑体" w:hAnsi="Times New Roman" w:eastAsia="黑体" w:cs="Times New Roman"/>
        <w:b w:val="0"/>
        <w:i w:val="0"/>
        <w:sz w:val="21"/>
      </w:rPr>
    </w:lvl>
    <w:lvl w:ilvl="5" w:tentative="0">
      <w:start w:val="1"/>
      <w:numFmt w:val="decimal"/>
      <w:pStyle w:val="43"/>
      <w:suff w:val="nothing"/>
      <w:lvlText w:val="%1.%2.%3.%4.%5.%6　"/>
      <w:lvlJc w:val="left"/>
      <w:rPr>
        <w:rFonts w:hint="eastAsia" w:ascii="黑体" w:hAnsi="Times New Roman" w:eastAsia="黑体" w:cs="Times New Roman"/>
        <w:b w:val="0"/>
        <w:i w:val="0"/>
        <w:sz w:val="21"/>
      </w:rPr>
    </w:lvl>
    <w:lvl w:ilvl="6" w:tentative="0">
      <w:start w:val="1"/>
      <w:numFmt w:val="decimal"/>
      <w:suff w:val="nothing"/>
      <w:lvlText w:val="%1%2.%3.%4.%5.%6.%7　"/>
      <w:lvlJc w:val="left"/>
      <w:rPr>
        <w:rFonts w:hint="eastAsia" w:ascii="黑体" w:hAnsi="Times New Roman" w:eastAsia="黑体" w:cs="Times New Roman"/>
        <w:b w:val="0"/>
        <w:i w:val="0"/>
        <w:sz w:val="21"/>
      </w:rPr>
    </w:lvl>
    <w:lvl w:ilvl="7" w:tentative="0">
      <w:start w:val="1"/>
      <w:numFmt w:val="decimal"/>
      <w:lvlText w:val="%1.%2.%3.%4.%5.%6.%7.%8"/>
      <w:lvlJc w:val="left"/>
      <w:pPr>
        <w:tabs>
          <w:tab w:val="left" w:pos="4351"/>
        </w:tabs>
        <w:ind w:left="3969" w:hanging="1418"/>
      </w:pPr>
      <w:rPr>
        <w:rFonts w:hint="eastAsia" w:cs="Times New Roman"/>
      </w:rPr>
    </w:lvl>
    <w:lvl w:ilvl="8" w:tentative="0">
      <w:start w:val="1"/>
      <w:numFmt w:val="decimal"/>
      <w:lvlText w:val="%1.%2.%3.%4.%5.%6.%7.%8.%9"/>
      <w:lvlJc w:val="left"/>
      <w:pPr>
        <w:tabs>
          <w:tab w:val="left" w:pos="4777"/>
        </w:tabs>
        <w:ind w:left="4677" w:hanging="1700"/>
      </w:pPr>
      <w:rPr>
        <w:rFonts w:hint="eastAsia" w:cs="Times New Roman"/>
      </w:rPr>
    </w:lvl>
  </w:abstractNum>
  <w:abstractNum w:abstractNumId="2">
    <w:nsid w:val="44C50F90"/>
    <w:multiLevelType w:val="multilevel"/>
    <w:tmpl w:val="44C50F90"/>
    <w:lvl w:ilvl="0" w:tentative="0">
      <w:start w:val="1"/>
      <w:numFmt w:val="lowerLetter"/>
      <w:pStyle w:val="44"/>
      <w:lvlText w:val="%1)"/>
      <w:lvlJc w:val="left"/>
      <w:pPr>
        <w:tabs>
          <w:tab w:val="left" w:pos="840"/>
        </w:tabs>
        <w:ind w:left="839" w:hanging="419"/>
      </w:pPr>
      <w:rPr>
        <w:rFonts w:hint="eastAsia" w:ascii="宋体" w:eastAsia="宋体" w:cs="Times New Roman"/>
        <w:b w:val="0"/>
        <w:i w:val="0"/>
        <w:sz w:val="21"/>
        <w:szCs w:val="21"/>
      </w:rPr>
    </w:lvl>
    <w:lvl w:ilvl="1" w:tentative="0">
      <w:start w:val="1"/>
      <w:numFmt w:val="decimal"/>
      <w:pStyle w:val="41"/>
      <w:lvlText w:val="%2)"/>
      <w:lvlJc w:val="left"/>
      <w:pPr>
        <w:tabs>
          <w:tab w:val="left" w:pos="1260"/>
        </w:tabs>
        <w:ind w:left="1259" w:hanging="419"/>
      </w:pPr>
      <w:rPr>
        <w:rFonts w:hint="eastAsia" w:cs="Times New Roman"/>
      </w:rPr>
    </w:lvl>
    <w:lvl w:ilvl="2" w:tentative="0">
      <w:start w:val="1"/>
      <w:numFmt w:val="decimal"/>
      <w:pStyle w:val="45"/>
      <w:lvlText w:val="(%3)"/>
      <w:lvlJc w:val="left"/>
      <w:pPr>
        <w:tabs>
          <w:tab w:val="left" w:pos="0"/>
        </w:tabs>
        <w:ind w:left="1679" w:hanging="420"/>
      </w:pPr>
      <w:rPr>
        <w:rFonts w:hint="eastAsia" w:ascii="宋体" w:eastAsia="宋体" w:cs="Times New Roman"/>
        <w:b w:val="0"/>
        <w:i w:val="0"/>
        <w:sz w:val="21"/>
        <w:szCs w:val="21"/>
      </w:rPr>
    </w:lvl>
    <w:lvl w:ilvl="3" w:tentative="0">
      <w:start w:val="1"/>
      <w:numFmt w:val="decimal"/>
      <w:lvlText w:val="%4."/>
      <w:lvlJc w:val="left"/>
      <w:pPr>
        <w:tabs>
          <w:tab w:val="left" w:pos="2100"/>
        </w:tabs>
        <w:ind w:left="2099" w:hanging="419"/>
      </w:pPr>
      <w:rPr>
        <w:rFonts w:hint="eastAsia" w:cs="Times New Roman"/>
      </w:rPr>
    </w:lvl>
    <w:lvl w:ilvl="4" w:tentative="0">
      <w:start w:val="1"/>
      <w:numFmt w:val="lowerLetter"/>
      <w:lvlText w:val="%5)"/>
      <w:lvlJc w:val="left"/>
      <w:pPr>
        <w:tabs>
          <w:tab w:val="left" w:pos="2520"/>
        </w:tabs>
        <w:ind w:left="2519" w:hanging="419"/>
      </w:pPr>
      <w:rPr>
        <w:rFonts w:hint="eastAsia" w:cs="Times New Roman"/>
      </w:rPr>
    </w:lvl>
    <w:lvl w:ilvl="5" w:tentative="0">
      <w:start w:val="1"/>
      <w:numFmt w:val="lowerRoman"/>
      <w:lvlText w:val="%6."/>
      <w:lvlJc w:val="right"/>
      <w:pPr>
        <w:tabs>
          <w:tab w:val="left" w:pos="2940"/>
        </w:tabs>
        <w:ind w:left="2939" w:hanging="419"/>
      </w:pPr>
      <w:rPr>
        <w:rFonts w:hint="eastAsia" w:cs="Times New Roman"/>
      </w:rPr>
    </w:lvl>
    <w:lvl w:ilvl="6" w:tentative="0">
      <w:start w:val="1"/>
      <w:numFmt w:val="decimal"/>
      <w:lvlText w:val="%7."/>
      <w:lvlJc w:val="left"/>
      <w:pPr>
        <w:tabs>
          <w:tab w:val="left" w:pos="3360"/>
        </w:tabs>
        <w:ind w:left="3359" w:hanging="419"/>
      </w:pPr>
      <w:rPr>
        <w:rFonts w:hint="eastAsia" w:cs="Times New Roman"/>
      </w:rPr>
    </w:lvl>
    <w:lvl w:ilvl="7" w:tentative="0">
      <w:start w:val="1"/>
      <w:numFmt w:val="lowerLetter"/>
      <w:lvlText w:val="%8)"/>
      <w:lvlJc w:val="left"/>
      <w:pPr>
        <w:tabs>
          <w:tab w:val="left" w:pos="3780"/>
        </w:tabs>
        <w:ind w:left="3779" w:hanging="419"/>
      </w:pPr>
      <w:rPr>
        <w:rFonts w:hint="eastAsia" w:cs="Times New Roman"/>
      </w:rPr>
    </w:lvl>
    <w:lvl w:ilvl="8" w:tentative="0">
      <w:start w:val="1"/>
      <w:numFmt w:val="lowerRoman"/>
      <w:lvlText w:val="%9."/>
      <w:lvlJc w:val="right"/>
      <w:pPr>
        <w:tabs>
          <w:tab w:val="left" w:pos="4200"/>
        </w:tabs>
        <w:ind w:left="4199" w:hanging="419"/>
      </w:pPr>
      <w:rPr>
        <w:rFonts w:hint="eastAsia"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hideSpellingErrors/>
  <w:documentProtection w:enforcement="0"/>
  <w:defaultTabStop w:val="420"/>
  <w:drawingGridVerticalSpacing w:val="156"/>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E23D39"/>
    <w:rsid w:val="000003BC"/>
    <w:rsid w:val="00000725"/>
    <w:rsid w:val="0000177F"/>
    <w:rsid w:val="0000182B"/>
    <w:rsid w:val="00001B50"/>
    <w:rsid w:val="00001B8B"/>
    <w:rsid w:val="00001BF1"/>
    <w:rsid w:val="00001F6F"/>
    <w:rsid w:val="00001FBC"/>
    <w:rsid w:val="00002023"/>
    <w:rsid w:val="000029D4"/>
    <w:rsid w:val="0000310E"/>
    <w:rsid w:val="00005095"/>
    <w:rsid w:val="00005112"/>
    <w:rsid w:val="00006691"/>
    <w:rsid w:val="00006879"/>
    <w:rsid w:val="0000713B"/>
    <w:rsid w:val="000079EB"/>
    <w:rsid w:val="00007B68"/>
    <w:rsid w:val="00010104"/>
    <w:rsid w:val="0001138A"/>
    <w:rsid w:val="00011809"/>
    <w:rsid w:val="00012108"/>
    <w:rsid w:val="000121DB"/>
    <w:rsid w:val="00012353"/>
    <w:rsid w:val="00012B18"/>
    <w:rsid w:val="00012F18"/>
    <w:rsid w:val="00013F6D"/>
    <w:rsid w:val="0001545B"/>
    <w:rsid w:val="00016268"/>
    <w:rsid w:val="00016306"/>
    <w:rsid w:val="00020620"/>
    <w:rsid w:val="00021BE0"/>
    <w:rsid w:val="00021CCD"/>
    <w:rsid w:val="00021CDF"/>
    <w:rsid w:val="00021E24"/>
    <w:rsid w:val="00023358"/>
    <w:rsid w:val="00024557"/>
    <w:rsid w:val="000248DA"/>
    <w:rsid w:val="00024E8D"/>
    <w:rsid w:val="00025CE1"/>
    <w:rsid w:val="00025F2A"/>
    <w:rsid w:val="00025FAB"/>
    <w:rsid w:val="00026A2D"/>
    <w:rsid w:val="00026CFB"/>
    <w:rsid w:val="0002724A"/>
    <w:rsid w:val="000274B5"/>
    <w:rsid w:val="0003097F"/>
    <w:rsid w:val="000325E3"/>
    <w:rsid w:val="00032886"/>
    <w:rsid w:val="00033904"/>
    <w:rsid w:val="00033A2B"/>
    <w:rsid w:val="00034292"/>
    <w:rsid w:val="00034DBA"/>
    <w:rsid w:val="00035A0A"/>
    <w:rsid w:val="0003627D"/>
    <w:rsid w:val="00036588"/>
    <w:rsid w:val="0003683D"/>
    <w:rsid w:val="00037366"/>
    <w:rsid w:val="000406FF"/>
    <w:rsid w:val="00040A1B"/>
    <w:rsid w:val="00041894"/>
    <w:rsid w:val="0004196A"/>
    <w:rsid w:val="0004207A"/>
    <w:rsid w:val="0004209E"/>
    <w:rsid w:val="00042BCC"/>
    <w:rsid w:val="000435BB"/>
    <w:rsid w:val="00043918"/>
    <w:rsid w:val="00043DFA"/>
    <w:rsid w:val="000441AF"/>
    <w:rsid w:val="000455A7"/>
    <w:rsid w:val="00046B47"/>
    <w:rsid w:val="00046BE3"/>
    <w:rsid w:val="00046CE9"/>
    <w:rsid w:val="0004715B"/>
    <w:rsid w:val="00047AAE"/>
    <w:rsid w:val="00050668"/>
    <w:rsid w:val="00051B2F"/>
    <w:rsid w:val="00051E4A"/>
    <w:rsid w:val="00052D8A"/>
    <w:rsid w:val="000530D1"/>
    <w:rsid w:val="00053251"/>
    <w:rsid w:val="00053408"/>
    <w:rsid w:val="00054A15"/>
    <w:rsid w:val="00054C4A"/>
    <w:rsid w:val="000559C1"/>
    <w:rsid w:val="00055EE5"/>
    <w:rsid w:val="0005637F"/>
    <w:rsid w:val="00056C32"/>
    <w:rsid w:val="00057F89"/>
    <w:rsid w:val="00060140"/>
    <w:rsid w:val="00060283"/>
    <w:rsid w:val="00062428"/>
    <w:rsid w:val="000631AA"/>
    <w:rsid w:val="00064C0A"/>
    <w:rsid w:val="00065389"/>
    <w:rsid w:val="00065616"/>
    <w:rsid w:val="0006625D"/>
    <w:rsid w:val="0006678D"/>
    <w:rsid w:val="0006681A"/>
    <w:rsid w:val="00066F66"/>
    <w:rsid w:val="00067799"/>
    <w:rsid w:val="00067A61"/>
    <w:rsid w:val="00067C41"/>
    <w:rsid w:val="0007047C"/>
    <w:rsid w:val="00070656"/>
    <w:rsid w:val="000708B0"/>
    <w:rsid w:val="00070B5C"/>
    <w:rsid w:val="00070F9A"/>
    <w:rsid w:val="00070FD3"/>
    <w:rsid w:val="000720B4"/>
    <w:rsid w:val="000722A9"/>
    <w:rsid w:val="00073179"/>
    <w:rsid w:val="00073C4A"/>
    <w:rsid w:val="000741EE"/>
    <w:rsid w:val="00075AC9"/>
    <w:rsid w:val="00076F61"/>
    <w:rsid w:val="0007780A"/>
    <w:rsid w:val="00080137"/>
    <w:rsid w:val="0008097F"/>
    <w:rsid w:val="00080ADA"/>
    <w:rsid w:val="00080E24"/>
    <w:rsid w:val="00081246"/>
    <w:rsid w:val="00082BF4"/>
    <w:rsid w:val="00082DDB"/>
    <w:rsid w:val="00082EFE"/>
    <w:rsid w:val="000832AF"/>
    <w:rsid w:val="00083505"/>
    <w:rsid w:val="00083F8E"/>
    <w:rsid w:val="00084343"/>
    <w:rsid w:val="00084EDA"/>
    <w:rsid w:val="0008524D"/>
    <w:rsid w:val="00085905"/>
    <w:rsid w:val="00085DF6"/>
    <w:rsid w:val="000862FC"/>
    <w:rsid w:val="0008634B"/>
    <w:rsid w:val="0008707D"/>
    <w:rsid w:val="000875D7"/>
    <w:rsid w:val="00087F5F"/>
    <w:rsid w:val="000907FB"/>
    <w:rsid w:val="000911B2"/>
    <w:rsid w:val="00091C63"/>
    <w:rsid w:val="000924AB"/>
    <w:rsid w:val="000928E7"/>
    <w:rsid w:val="00092FAD"/>
    <w:rsid w:val="00093184"/>
    <w:rsid w:val="00093242"/>
    <w:rsid w:val="00093EB7"/>
    <w:rsid w:val="00094AFB"/>
    <w:rsid w:val="00094E4C"/>
    <w:rsid w:val="00095863"/>
    <w:rsid w:val="0009587B"/>
    <w:rsid w:val="000A005C"/>
    <w:rsid w:val="000A0E1A"/>
    <w:rsid w:val="000A2332"/>
    <w:rsid w:val="000A383C"/>
    <w:rsid w:val="000A3E2D"/>
    <w:rsid w:val="000A43BD"/>
    <w:rsid w:val="000A44F1"/>
    <w:rsid w:val="000A5ACF"/>
    <w:rsid w:val="000A5D2E"/>
    <w:rsid w:val="000A712A"/>
    <w:rsid w:val="000A7333"/>
    <w:rsid w:val="000A745D"/>
    <w:rsid w:val="000A75D4"/>
    <w:rsid w:val="000A7744"/>
    <w:rsid w:val="000B017E"/>
    <w:rsid w:val="000B0370"/>
    <w:rsid w:val="000B0F5E"/>
    <w:rsid w:val="000B0F61"/>
    <w:rsid w:val="000B1591"/>
    <w:rsid w:val="000B1C6E"/>
    <w:rsid w:val="000B29D8"/>
    <w:rsid w:val="000B33E7"/>
    <w:rsid w:val="000B342A"/>
    <w:rsid w:val="000B359A"/>
    <w:rsid w:val="000B3630"/>
    <w:rsid w:val="000B3632"/>
    <w:rsid w:val="000B364A"/>
    <w:rsid w:val="000B3881"/>
    <w:rsid w:val="000B3ACD"/>
    <w:rsid w:val="000B41DE"/>
    <w:rsid w:val="000B458F"/>
    <w:rsid w:val="000B46BC"/>
    <w:rsid w:val="000B4FB7"/>
    <w:rsid w:val="000B587E"/>
    <w:rsid w:val="000B5999"/>
    <w:rsid w:val="000B5C7F"/>
    <w:rsid w:val="000B6ABE"/>
    <w:rsid w:val="000B6ADB"/>
    <w:rsid w:val="000B6D31"/>
    <w:rsid w:val="000B6EE5"/>
    <w:rsid w:val="000B71D5"/>
    <w:rsid w:val="000C0750"/>
    <w:rsid w:val="000C0956"/>
    <w:rsid w:val="000C305A"/>
    <w:rsid w:val="000C3AE4"/>
    <w:rsid w:val="000C3E24"/>
    <w:rsid w:val="000C5060"/>
    <w:rsid w:val="000C5487"/>
    <w:rsid w:val="000C5755"/>
    <w:rsid w:val="000C651E"/>
    <w:rsid w:val="000C6E9D"/>
    <w:rsid w:val="000C7653"/>
    <w:rsid w:val="000C7971"/>
    <w:rsid w:val="000C7A4F"/>
    <w:rsid w:val="000D0183"/>
    <w:rsid w:val="000D0997"/>
    <w:rsid w:val="000D0D75"/>
    <w:rsid w:val="000D23B7"/>
    <w:rsid w:val="000D3DB2"/>
    <w:rsid w:val="000D4B72"/>
    <w:rsid w:val="000D52B8"/>
    <w:rsid w:val="000D5829"/>
    <w:rsid w:val="000D5A0C"/>
    <w:rsid w:val="000D601E"/>
    <w:rsid w:val="000D6F67"/>
    <w:rsid w:val="000D70E5"/>
    <w:rsid w:val="000D7AF9"/>
    <w:rsid w:val="000D7B18"/>
    <w:rsid w:val="000E0DE0"/>
    <w:rsid w:val="000E1418"/>
    <w:rsid w:val="000E16A4"/>
    <w:rsid w:val="000E1E8D"/>
    <w:rsid w:val="000E32A3"/>
    <w:rsid w:val="000E3324"/>
    <w:rsid w:val="000E3479"/>
    <w:rsid w:val="000E4301"/>
    <w:rsid w:val="000E43F6"/>
    <w:rsid w:val="000E4BDB"/>
    <w:rsid w:val="000E4F1C"/>
    <w:rsid w:val="000E5193"/>
    <w:rsid w:val="000E56B7"/>
    <w:rsid w:val="000E5DFD"/>
    <w:rsid w:val="000E61F9"/>
    <w:rsid w:val="000E6273"/>
    <w:rsid w:val="000E6294"/>
    <w:rsid w:val="000E7828"/>
    <w:rsid w:val="000E7967"/>
    <w:rsid w:val="000F0300"/>
    <w:rsid w:val="000F21D6"/>
    <w:rsid w:val="000F33A2"/>
    <w:rsid w:val="000F3A75"/>
    <w:rsid w:val="000F3D9F"/>
    <w:rsid w:val="000F4774"/>
    <w:rsid w:val="000F4D33"/>
    <w:rsid w:val="000F4FE5"/>
    <w:rsid w:val="000F5EE5"/>
    <w:rsid w:val="000F60E4"/>
    <w:rsid w:val="000F7E85"/>
    <w:rsid w:val="001008CC"/>
    <w:rsid w:val="00100E3E"/>
    <w:rsid w:val="0010187E"/>
    <w:rsid w:val="00101DFB"/>
    <w:rsid w:val="00102506"/>
    <w:rsid w:val="00102526"/>
    <w:rsid w:val="001028C5"/>
    <w:rsid w:val="001032D0"/>
    <w:rsid w:val="001058DE"/>
    <w:rsid w:val="00105FE4"/>
    <w:rsid w:val="00107491"/>
    <w:rsid w:val="00107A6C"/>
    <w:rsid w:val="001103A8"/>
    <w:rsid w:val="00110474"/>
    <w:rsid w:val="00110A7A"/>
    <w:rsid w:val="00111C1D"/>
    <w:rsid w:val="00112D00"/>
    <w:rsid w:val="001138F4"/>
    <w:rsid w:val="0011390F"/>
    <w:rsid w:val="00113AB4"/>
    <w:rsid w:val="00113C77"/>
    <w:rsid w:val="00114CAB"/>
    <w:rsid w:val="00115C79"/>
    <w:rsid w:val="00116723"/>
    <w:rsid w:val="00117972"/>
    <w:rsid w:val="0012031F"/>
    <w:rsid w:val="0012137B"/>
    <w:rsid w:val="001219E9"/>
    <w:rsid w:val="00121DED"/>
    <w:rsid w:val="001222AC"/>
    <w:rsid w:val="001228A6"/>
    <w:rsid w:val="001234AE"/>
    <w:rsid w:val="001234F5"/>
    <w:rsid w:val="00123653"/>
    <w:rsid w:val="001237F6"/>
    <w:rsid w:val="00123A03"/>
    <w:rsid w:val="00124253"/>
    <w:rsid w:val="00124846"/>
    <w:rsid w:val="00126191"/>
    <w:rsid w:val="00126CF8"/>
    <w:rsid w:val="0012703E"/>
    <w:rsid w:val="00127ABD"/>
    <w:rsid w:val="0013083C"/>
    <w:rsid w:val="00130EC9"/>
    <w:rsid w:val="0013178D"/>
    <w:rsid w:val="00131A53"/>
    <w:rsid w:val="001320CA"/>
    <w:rsid w:val="001324AD"/>
    <w:rsid w:val="00132E35"/>
    <w:rsid w:val="001342E8"/>
    <w:rsid w:val="00135236"/>
    <w:rsid w:val="00135F55"/>
    <w:rsid w:val="001367DF"/>
    <w:rsid w:val="00136D16"/>
    <w:rsid w:val="0013709E"/>
    <w:rsid w:val="00140D8F"/>
    <w:rsid w:val="001412F6"/>
    <w:rsid w:val="001414F8"/>
    <w:rsid w:val="00141F9D"/>
    <w:rsid w:val="00142235"/>
    <w:rsid w:val="0014245D"/>
    <w:rsid w:val="001424F5"/>
    <w:rsid w:val="00143422"/>
    <w:rsid w:val="001441BA"/>
    <w:rsid w:val="00144C50"/>
    <w:rsid w:val="001455DE"/>
    <w:rsid w:val="00145B27"/>
    <w:rsid w:val="001468C6"/>
    <w:rsid w:val="00146DC0"/>
    <w:rsid w:val="001474AF"/>
    <w:rsid w:val="00147915"/>
    <w:rsid w:val="00150D3A"/>
    <w:rsid w:val="0015246E"/>
    <w:rsid w:val="00152C33"/>
    <w:rsid w:val="0015416D"/>
    <w:rsid w:val="0015440B"/>
    <w:rsid w:val="00154C67"/>
    <w:rsid w:val="00155759"/>
    <w:rsid w:val="00155BDF"/>
    <w:rsid w:val="001566A1"/>
    <w:rsid w:val="00156CA5"/>
    <w:rsid w:val="00156E10"/>
    <w:rsid w:val="001571CC"/>
    <w:rsid w:val="001602BB"/>
    <w:rsid w:val="001606DE"/>
    <w:rsid w:val="00160F6E"/>
    <w:rsid w:val="00161138"/>
    <w:rsid w:val="00161F1C"/>
    <w:rsid w:val="001625EB"/>
    <w:rsid w:val="00163031"/>
    <w:rsid w:val="00163533"/>
    <w:rsid w:val="00163AD9"/>
    <w:rsid w:val="001646E6"/>
    <w:rsid w:val="00164837"/>
    <w:rsid w:val="00164AEC"/>
    <w:rsid w:val="00164D5C"/>
    <w:rsid w:val="001654DF"/>
    <w:rsid w:val="001655AC"/>
    <w:rsid w:val="00165926"/>
    <w:rsid w:val="00165F77"/>
    <w:rsid w:val="00166B50"/>
    <w:rsid w:val="001706E1"/>
    <w:rsid w:val="00170A84"/>
    <w:rsid w:val="00170E56"/>
    <w:rsid w:val="0017192D"/>
    <w:rsid w:val="00172EE8"/>
    <w:rsid w:val="00173EBC"/>
    <w:rsid w:val="001742AC"/>
    <w:rsid w:val="001747B7"/>
    <w:rsid w:val="00177016"/>
    <w:rsid w:val="00177A84"/>
    <w:rsid w:val="001813A2"/>
    <w:rsid w:val="001817DB"/>
    <w:rsid w:val="00181E65"/>
    <w:rsid w:val="0018206E"/>
    <w:rsid w:val="00183A20"/>
    <w:rsid w:val="00183D04"/>
    <w:rsid w:val="00183FB3"/>
    <w:rsid w:val="0018429E"/>
    <w:rsid w:val="00184690"/>
    <w:rsid w:val="00184B61"/>
    <w:rsid w:val="00185052"/>
    <w:rsid w:val="001866CB"/>
    <w:rsid w:val="0018784C"/>
    <w:rsid w:val="00187EAC"/>
    <w:rsid w:val="0019147E"/>
    <w:rsid w:val="00191D8B"/>
    <w:rsid w:val="0019200D"/>
    <w:rsid w:val="001928FC"/>
    <w:rsid w:val="00193306"/>
    <w:rsid w:val="00193A94"/>
    <w:rsid w:val="001948BD"/>
    <w:rsid w:val="00194CFB"/>
    <w:rsid w:val="00195190"/>
    <w:rsid w:val="00195BCF"/>
    <w:rsid w:val="00196AB0"/>
    <w:rsid w:val="001A027F"/>
    <w:rsid w:val="001A16FE"/>
    <w:rsid w:val="001A2C7C"/>
    <w:rsid w:val="001A2D99"/>
    <w:rsid w:val="001A3063"/>
    <w:rsid w:val="001A40EF"/>
    <w:rsid w:val="001A487C"/>
    <w:rsid w:val="001A5B5C"/>
    <w:rsid w:val="001A6A84"/>
    <w:rsid w:val="001A6A8B"/>
    <w:rsid w:val="001A765D"/>
    <w:rsid w:val="001B1606"/>
    <w:rsid w:val="001B2548"/>
    <w:rsid w:val="001B25D1"/>
    <w:rsid w:val="001B29AB"/>
    <w:rsid w:val="001B2A81"/>
    <w:rsid w:val="001B2ECB"/>
    <w:rsid w:val="001B359F"/>
    <w:rsid w:val="001B42B6"/>
    <w:rsid w:val="001B758C"/>
    <w:rsid w:val="001B7DAF"/>
    <w:rsid w:val="001C0B9E"/>
    <w:rsid w:val="001C1095"/>
    <w:rsid w:val="001C1199"/>
    <w:rsid w:val="001C29F6"/>
    <w:rsid w:val="001C2A41"/>
    <w:rsid w:val="001C2E38"/>
    <w:rsid w:val="001C32BF"/>
    <w:rsid w:val="001C59F9"/>
    <w:rsid w:val="001C5C9A"/>
    <w:rsid w:val="001C5CBA"/>
    <w:rsid w:val="001C6497"/>
    <w:rsid w:val="001C6751"/>
    <w:rsid w:val="001C7459"/>
    <w:rsid w:val="001C7F51"/>
    <w:rsid w:val="001D089F"/>
    <w:rsid w:val="001D14F2"/>
    <w:rsid w:val="001D1948"/>
    <w:rsid w:val="001D2AE2"/>
    <w:rsid w:val="001D2D95"/>
    <w:rsid w:val="001D3741"/>
    <w:rsid w:val="001D376F"/>
    <w:rsid w:val="001D4F17"/>
    <w:rsid w:val="001D55D3"/>
    <w:rsid w:val="001D6307"/>
    <w:rsid w:val="001D65A6"/>
    <w:rsid w:val="001D7CBD"/>
    <w:rsid w:val="001E02E4"/>
    <w:rsid w:val="001E1969"/>
    <w:rsid w:val="001E1B57"/>
    <w:rsid w:val="001E25BA"/>
    <w:rsid w:val="001E32FE"/>
    <w:rsid w:val="001E44C5"/>
    <w:rsid w:val="001E45F0"/>
    <w:rsid w:val="001E48AC"/>
    <w:rsid w:val="001E700C"/>
    <w:rsid w:val="001E79E0"/>
    <w:rsid w:val="001E7FEC"/>
    <w:rsid w:val="001F002C"/>
    <w:rsid w:val="001F09D7"/>
    <w:rsid w:val="001F10B0"/>
    <w:rsid w:val="001F223F"/>
    <w:rsid w:val="001F2707"/>
    <w:rsid w:val="001F2840"/>
    <w:rsid w:val="001F2C22"/>
    <w:rsid w:val="001F2C61"/>
    <w:rsid w:val="001F2F9C"/>
    <w:rsid w:val="001F3890"/>
    <w:rsid w:val="001F3E42"/>
    <w:rsid w:val="001F41DA"/>
    <w:rsid w:val="001F43E2"/>
    <w:rsid w:val="001F5A3A"/>
    <w:rsid w:val="00200AC5"/>
    <w:rsid w:val="00200E3C"/>
    <w:rsid w:val="00201107"/>
    <w:rsid w:val="002026A1"/>
    <w:rsid w:val="0020294A"/>
    <w:rsid w:val="00204362"/>
    <w:rsid w:val="00204627"/>
    <w:rsid w:val="002054F8"/>
    <w:rsid w:val="0020565C"/>
    <w:rsid w:val="00205F38"/>
    <w:rsid w:val="002061F3"/>
    <w:rsid w:val="002067C4"/>
    <w:rsid w:val="00206E07"/>
    <w:rsid w:val="002074E0"/>
    <w:rsid w:val="00207A76"/>
    <w:rsid w:val="00207C4C"/>
    <w:rsid w:val="00207CF3"/>
    <w:rsid w:val="0021033E"/>
    <w:rsid w:val="00210D43"/>
    <w:rsid w:val="002116BE"/>
    <w:rsid w:val="00211E7C"/>
    <w:rsid w:val="0021223B"/>
    <w:rsid w:val="002124BC"/>
    <w:rsid w:val="002128EE"/>
    <w:rsid w:val="002138D4"/>
    <w:rsid w:val="00216635"/>
    <w:rsid w:val="002166CF"/>
    <w:rsid w:val="00217FF1"/>
    <w:rsid w:val="00221F20"/>
    <w:rsid w:val="00222120"/>
    <w:rsid w:val="0022226C"/>
    <w:rsid w:val="002224DA"/>
    <w:rsid w:val="00223459"/>
    <w:rsid w:val="00224807"/>
    <w:rsid w:val="0022497C"/>
    <w:rsid w:val="00224B90"/>
    <w:rsid w:val="00224DE4"/>
    <w:rsid w:val="00225025"/>
    <w:rsid w:val="002257EF"/>
    <w:rsid w:val="00225BE0"/>
    <w:rsid w:val="00225CD4"/>
    <w:rsid w:val="00226350"/>
    <w:rsid w:val="00226AC1"/>
    <w:rsid w:val="0022716F"/>
    <w:rsid w:val="002273DF"/>
    <w:rsid w:val="00230F21"/>
    <w:rsid w:val="002313CE"/>
    <w:rsid w:val="00232246"/>
    <w:rsid w:val="002330A5"/>
    <w:rsid w:val="002330AC"/>
    <w:rsid w:val="00233681"/>
    <w:rsid w:val="00233A1D"/>
    <w:rsid w:val="00235C1A"/>
    <w:rsid w:val="002367CF"/>
    <w:rsid w:val="00236C0A"/>
    <w:rsid w:val="00236E9C"/>
    <w:rsid w:val="002372DD"/>
    <w:rsid w:val="002375F9"/>
    <w:rsid w:val="00237902"/>
    <w:rsid w:val="002407CF"/>
    <w:rsid w:val="00240A4D"/>
    <w:rsid w:val="00241364"/>
    <w:rsid w:val="00243CB1"/>
    <w:rsid w:val="0024442E"/>
    <w:rsid w:val="002444E3"/>
    <w:rsid w:val="002449FC"/>
    <w:rsid w:val="00244B49"/>
    <w:rsid w:val="00244CC5"/>
    <w:rsid w:val="0024527C"/>
    <w:rsid w:val="0024533A"/>
    <w:rsid w:val="0024598E"/>
    <w:rsid w:val="002459EC"/>
    <w:rsid w:val="00245C89"/>
    <w:rsid w:val="00247894"/>
    <w:rsid w:val="00247948"/>
    <w:rsid w:val="00250064"/>
    <w:rsid w:val="00250209"/>
    <w:rsid w:val="00251A22"/>
    <w:rsid w:val="00251A75"/>
    <w:rsid w:val="00251AF4"/>
    <w:rsid w:val="00252C6C"/>
    <w:rsid w:val="00253466"/>
    <w:rsid w:val="002547BA"/>
    <w:rsid w:val="00255E43"/>
    <w:rsid w:val="002561D3"/>
    <w:rsid w:val="002572DD"/>
    <w:rsid w:val="00257642"/>
    <w:rsid w:val="00257A64"/>
    <w:rsid w:val="00257DA6"/>
    <w:rsid w:val="00261398"/>
    <w:rsid w:val="0026145D"/>
    <w:rsid w:val="002617A2"/>
    <w:rsid w:val="00262D2C"/>
    <w:rsid w:val="00263681"/>
    <w:rsid w:val="00263CED"/>
    <w:rsid w:val="002640D3"/>
    <w:rsid w:val="00266794"/>
    <w:rsid w:val="00266A46"/>
    <w:rsid w:val="00267795"/>
    <w:rsid w:val="002708ED"/>
    <w:rsid w:val="00270C3E"/>
    <w:rsid w:val="00270C5E"/>
    <w:rsid w:val="002717C7"/>
    <w:rsid w:val="002723E2"/>
    <w:rsid w:val="002734DA"/>
    <w:rsid w:val="00274855"/>
    <w:rsid w:val="00274A8C"/>
    <w:rsid w:val="00275DE2"/>
    <w:rsid w:val="00275EE0"/>
    <w:rsid w:val="00276D4D"/>
    <w:rsid w:val="0027768E"/>
    <w:rsid w:val="00277A22"/>
    <w:rsid w:val="00280048"/>
    <w:rsid w:val="00280AB3"/>
    <w:rsid w:val="00281081"/>
    <w:rsid w:val="00281F39"/>
    <w:rsid w:val="002823FB"/>
    <w:rsid w:val="00283342"/>
    <w:rsid w:val="00283E90"/>
    <w:rsid w:val="00283FC1"/>
    <w:rsid w:val="002848B6"/>
    <w:rsid w:val="002848FC"/>
    <w:rsid w:val="00284A6F"/>
    <w:rsid w:val="00285074"/>
    <w:rsid w:val="002863AD"/>
    <w:rsid w:val="00287E53"/>
    <w:rsid w:val="00290D9D"/>
    <w:rsid w:val="00290E0D"/>
    <w:rsid w:val="00294AED"/>
    <w:rsid w:val="00294BED"/>
    <w:rsid w:val="00295DA0"/>
    <w:rsid w:val="0029638F"/>
    <w:rsid w:val="00297C28"/>
    <w:rsid w:val="00297EB5"/>
    <w:rsid w:val="002A0DCD"/>
    <w:rsid w:val="002A18C9"/>
    <w:rsid w:val="002A1E9A"/>
    <w:rsid w:val="002A4619"/>
    <w:rsid w:val="002A4643"/>
    <w:rsid w:val="002A5356"/>
    <w:rsid w:val="002A58B6"/>
    <w:rsid w:val="002A598C"/>
    <w:rsid w:val="002A675B"/>
    <w:rsid w:val="002A68B6"/>
    <w:rsid w:val="002A6A91"/>
    <w:rsid w:val="002A7162"/>
    <w:rsid w:val="002A7685"/>
    <w:rsid w:val="002A7EFA"/>
    <w:rsid w:val="002B1190"/>
    <w:rsid w:val="002B126E"/>
    <w:rsid w:val="002B1840"/>
    <w:rsid w:val="002B2598"/>
    <w:rsid w:val="002B2963"/>
    <w:rsid w:val="002B427B"/>
    <w:rsid w:val="002B492E"/>
    <w:rsid w:val="002B49C3"/>
    <w:rsid w:val="002B54C0"/>
    <w:rsid w:val="002B6B14"/>
    <w:rsid w:val="002B6CD0"/>
    <w:rsid w:val="002B707B"/>
    <w:rsid w:val="002B7DAC"/>
    <w:rsid w:val="002B7DE9"/>
    <w:rsid w:val="002C0BE4"/>
    <w:rsid w:val="002C1F2B"/>
    <w:rsid w:val="002C37D3"/>
    <w:rsid w:val="002C4359"/>
    <w:rsid w:val="002C4461"/>
    <w:rsid w:val="002C4F44"/>
    <w:rsid w:val="002C56BC"/>
    <w:rsid w:val="002C6D06"/>
    <w:rsid w:val="002C743C"/>
    <w:rsid w:val="002D11E9"/>
    <w:rsid w:val="002D1BB8"/>
    <w:rsid w:val="002D2589"/>
    <w:rsid w:val="002D2B11"/>
    <w:rsid w:val="002D4CE6"/>
    <w:rsid w:val="002D65C4"/>
    <w:rsid w:val="002D6CA2"/>
    <w:rsid w:val="002D777A"/>
    <w:rsid w:val="002D7C9A"/>
    <w:rsid w:val="002D7D98"/>
    <w:rsid w:val="002E2724"/>
    <w:rsid w:val="002E2CC8"/>
    <w:rsid w:val="002E2D92"/>
    <w:rsid w:val="002E2F46"/>
    <w:rsid w:val="002E3156"/>
    <w:rsid w:val="002E348D"/>
    <w:rsid w:val="002E486B"/>
    <w:rsid w:val="002E4A25"/>
    <w:rsid w:val="002E4A86"/>
    <w:rsid w:val="002E4C94"/>
    <w:rsid w:val="002E50A0"/>
    <w:rsid w:val="002E7373"/>
    <w:rsid w:val="002E7570"/>
    <w:rsid w:val="002E7688"/>
    <w:rsid w:val="002F00B2"/>
    <w:rsid w:val="002F13A1"/>
    <w:rsid w:val="002F16F8"/>
    <w:rsid w:val="002F2D73"/>
    <w:rsid w:val="002F3238"/>
    <w:rsid w:val="002F369B"/>
    <w:rsid w:val="002F4BB4"/>
    <w:rsid w:val="002F4BF8"/>
    <w:rsid w:val="002F4F89"/>
    <w:rsid w:val="002F6710"/>
    <w:rsid w:val="002F6B40"/>
    <w:rsid w:val="002F6FD6"/>
    <w:rsid w:val="002F7766"/>
    <w:rsid w:val="002F7A95"/>
    <w:rsid w:val="003000C0"/>
    <w:rsid w:val="00300311"/>
    <w:rsid w:val="003004D8"/>
    <w:rsid w:val="00300E7D"/>
    <w:rsid w:val="00301408"/>
    <w:rsid w:val="00302404"/>
    <w:rsid w:val="00302602"/>
    <w:rsid w:val="0030299C"/>
    <w:rsid w:val="00302AD7"/>
    <w:rsid w:val="00302BF1"/>
    <w:rsid w:val="00303854"/>
    <w:rsid w:val="00303D0D"/>
    <w:rsid w:val="00305360"/>
    <w:rsid w:val="00306541"/>
    <w:rsid w:val="003079F8"/>
    <w:rsid w:val="00310B49"/>
    <w:rsid w:val="00310E9F"/>
    <w:rsid w:val="00311F0A"/>
    <w:rsid w:val="00312067"/>
    <w:rsid w:val="00312248"/>
    <w:rsid w:val="0031253F"/>
    <w:rsid w:val="00312C3E"/>
    <w:rsid w:val="003139CA"/>
    <w:rsid w:val="00313A66"/>
    <w:rsid w:val="00314D5E"/>
    <w:rsid w:val="00315112"/>
    <w:rsid w:val="00316585"/>
    <w:rsid w:val="00316720"/>
    <w:rsid w:val="00316CF8"/>
    <w:rsid w:val="00317724"/>
    <w:rsid w:val="00317D7D"/>
    <w:rsid w:val="00317E2B"/>
    <w:rsid w:val="00320577"/>
    <w:rsid w:val="00320F2E"/>
    <w:rsid w:val="00320FD6"/>
    <w:rsid w:val="003212D3"/>
    <w:rsid w:val="003216D0"/>
    <w:rsid w:val="00321D75"/>
    <w:rsid w:val="0032285A"/>
    <w:rsid w:val="00322E4E"/>
    <w:rsid w:val="003235FD"/>
    <w:rsid w:val="003238D8"/>
    <w:rsid w:val="00323DD0"/>
    <w:rsid w:val="00324019"/>
    <w:rsid w:val="00324350"/>
    <w:rsid w:val="0032469D"/>
    <w:rsid w:val="00324CC4"/>
    <w:rsid w:val="00326805"/>
    <w:rsid w:val="0032699F"/>
    <w:rsid w:val="00326D20"/>
    <w:rsid w:val="00330C92"/>
    <w:rsid w:val="00330CA8"/>
    <w:rsid w:val="00330E77"/>
    <w:rsid w:val="0033130C"/>
    <w:rsid w:val="00331C0C"/>
    <w:rsid w:val="00332416"/>
    <w:rsid w:val="00332534"/>
    <w:rsid w:val="003329A0"/>
    <w:rsid w:val="0033454C"/>
    <w:rsid w:val="00335092"/>
    <w:rsid w:val="003357ED"/>
    <w:rsid w:val="00335D2E"/>
    <w:rsid w:val="00336DCE"/>
    <w:rsid w:val="0033766E"/>
    <w:rsid w:val="00341000"/>
    <w:rsid w:val="00341404"/>
    <w:rsid w:val="00341690"/>
    <w:rsid w:val="00342193"/>
    <w:rsid w:val="0034262D"/>
    <w:rsid w:val="003429CB"/>
    <w:rsid w:val="003429E3"/>
    <w:rsid w:val="00343845"/>
    <w:rsid w:val="00344C68"/>
    <w:rsid w:val="0034574B"/>
    <w:rsid w:val="003457E2"/>
    <w:rsid w:val="00346905"/>
    <w:rsid w:val="003517CD"/>
    <w:rsid w:val="00353188"/>
    <w:rsid w:val="00354456"/>
    <w:rsid w:val="0035661A"/>
    <w:rsid w:val="003572EC"/>
    <w:rsid w:val="00357DDD"/>
    <w:rsid w:val="0036007C"/>
    <w:rsid w:val="003609A9"/>
    <w:rsid w:val="0036178B"/>
    <w:rsid w:val="00361C18"/>
    <w:rsid w:val="0036201A"/>
    <w:rsid w:val="0036224D"/>
    <w:rsid w:val="00362615"/>
    <w:rsid w:val="00363700"/>
    <w:rsid w:val="0036467F"/>
    <w:rsid w:val="00364879"/>
    <w:rsid w:val="0036594D"/>
    <w:rsid w:val="00365A41"/>
    <w:rsid w:val="00365D8B"/>
    <w:rsid w:val="00367910"/>
    <w:rsid w:val="0037001D"/>
    <w:rsid w:val="003715C8"/>
    <w:rsid w:val="00371B3C"/>
    <w:rsid w:val="003723D6"/>
    <w:rsid w:val="003728F4"/>
    <w:rsid w:val="00373168"/>
    <w:rsid w:val="003741AE"/>
    <w:rsid w:val="003742D6"/>
    <w:rsid w:val="003767EA"/>
    <w:rsid w:val="00376B46"/>
    <w:rsid w:val="00376F1B"/>
    <w:rsid w:val="003774B6"/>
    <w:rsid w:val="003777D5"/>
    <w:rsid w:val="003807BE"/>
    <w:rsid w:val="00380F7D"/>
    <w:rsid w:val="003818FF"/>
    <w:rsid w:val="003828A9"/>
    <w:rsid w:val="00383734"/>
    <w:rsid w:val="00384174"/>
    <w:rsid w:val="00384D35"/>
    <w:rsid w:val="0038612B"/>
    <w:rsid w:val="003903E9"/>
    <w:rsid w:val="00390A89"/>
    <w:rsid w:val="00390B5F"/>
    <w:rsid w:val="00390CE5"/>
    <w:rsid w:val="003911ED"/>
    <w:rsid w:val="00391696"/>
    <w:rsid w:val="00391938"/>
    <w:rsid w:val="00391A68"/>
    <w:rsid w:val="00391C5B"/>
    <w:rsid w:val="0039220D"/>
    <w:rsid w:val="003940E4"/>
    <w:rsid w:val="00394A33"/>
    <w:rsid w:val="00394ED4"/>
    <w:rsid w:val="003950F9"/>
    <w:rsid w:val="00395433"/>
    <w:rsid w:val="00395C98"/>
    <w:rsid w:val="00396085"/>
    <w:rsid w:val="00396300"/>
    <w:rsid w:val="00396305"/>
    <w:rsid w:val="00396713"/>
    <w:rsid w:val="0039686B"/>
    <w:rsid w:val="00396EED"/>
    <w:rsid w:val="003971B4"/>
    <w:rsid w:val="00397A03"/>
    <w:rsid w:val="003A0B36"/>
    <w:rsid w:val="003A0D70"/>
    <w:rsid w:val="003A1713"/>
    <w:rsid w:val="003A1935"/>
    <w:rsid w:val="003A1B1F"/>
    <w:rsid w:val="003A341C"/>
    <w:rsid w:val="003A3CF9"/>
    <w:rsid w:val="003A3E5B"/>
    <w:rsid w:val="003A3F8B"/>
    <w:rsid w:val="003A4266"/>
    <w:rsid w:val="003A428C"/>
    <w:rsid w:val="003A4E2F"/>
    <w:rsid w:val="003A5A68"/>
    <w:rsid w:val="003A6D60"/>
    <w:rsid w:val="003A6E57"/>
    <w:rsid w:val="003A7F7D"/>
    <w:rsid w:val="003B0375"/>
    <w:rsid w:val="003B0928"/>
    <w:rsid w:val="003B105C"/>
    <w:rsid w:val="003B1AA2"/>
    <w:rsid w:val="003B2317"/>
    <w:rsid w:val="003B24C6"/>
    <w:rsid w:val="003B36A6"/>
    <w:rsid w:val="003B3775"/>
    <w:rsid w:val="003B3B90"/>
    <w:rsid w:val="003B3EB4"/>
    <w:rsid w:val="003B4696"/>
    <w:rsid w:val="003B503A"/>
    <w:rsid w:val="003B533B"/>
    <w:rsid w:val="003B670E"/>
    <w:rsid w:val="003B68CB"/>
    <w:rsid w:val="003B6945"/>
    <w:rsid w:val="003C0D74"/>
    <w:rsid w:val="003C12EE"/>
    <w:rsid w:val="003C133A"/>
    <w:rsid w:val="003C18F8"/>
    <w:rsid w:val="003C24B8"/>
    <w:rsid w:val="003C2A83"/>
    <w:rsid w:val="003C31D8"/>
    <w:rsid w:val="003C398F"/>
    <w:rsid w:val="003C4B1D"/>
    <w:rsid w:val="003C6A97"/>
    <w:rsid w:val="003C6D00"/>
    <w:rsid w:val="003C7800"/>
    <w:rsid w:val="003D21DF"/>
    <w:rsid w:val="003D2917"/>
    <w:rsid w:val="003D37D6"/>
    <w:rsid w:val="003D3C2C"/>
    <w:rsid w:val="003D3FAF"/>
    <w:rsid w:val="003D412C"/>
    <w:rsid w:val="003D41DC"/>
    <w:rsid w:val="003D4D3A"/>
    <w:rsid w:val="003D5152"/>
    <w:rsid w:val="003D51AF"/>
    <w:rsid w:val="003D546C"/>
    <w:rsid w:val="003D5B47"/>
    <w:rsid w:val="003D6BD7"/>
    <w:rsid w:val="003D6C96"/>
    <w:rsid w:val="003D7001"/>
    <w:rsid w:val="003E12A3"/>
    <w:rsid w:val="003E2E75"/>
    <w:rsid w:val="003E426A"/>
    <w:rsid w:val="003E4D04"/>
    <w:rsid w:val="003E5078"/>
    <w:rsid w:val="003E53F4"/>
    <w:rsid w:val="003E6958"/>
    <w:rsid w:val="003E6D4C"/>
    <w:rsid w:val="003E76BB"/>
    <w:rsid w:val="003E7A63"/>
    <w:rsid w:val="003E7CC5"/>
    <w:rsid w:val="003F0974"/>
    <w:rsid w:val="003F09BE"/>
    <w:rsid w:val="003F0AFE"/>
    <w:rsid w:val="003F0C46"/>
    <w:rsid w:val="003F2592"/>
    <w:rsid w:val="003F3410"/>
    <w:rsid w:val="003F349B"/>
    <w:rsid w:val="003F3A9F"/>
    <w:rsid w:val="003F3C29"/>
    <w:rsid w:val="003F3EBF"/>
    <w:rsid w:val="003F5889"/>
    <w:rsid w:val="003F69C8"/>
    <w:rsid w:val="003F74B6"/>
    <w:rsid w:val="003F7558"/>
    <w:rsid w:val="003F758C"/>
    <w:rsid w:val="003F7BC8"/>
    <w:rsid w:val="004000C1"/>
    <w:rsid w:val="004000CB"/>
    <w:rsid w:val="004006E6"/>
    <w:rsid w:val="00401B67"/>
    <w:rsid w:val="00401E5A"/>
    <w:rsid w:val="0040200B"/>
    <w:rsid w:val="004021C8"/>
    <w:rsid w:val="00403B8B"/>
    <w:rsid w:val="00404801"/>
    <w:rsid w:val="00404907"/>
    <w:rsid w:val="00404CBB"/>
    <w:rsid w:val="00405F6D"/>
    <w:rsid w:val="0040619F"/>
    <w:rsid w:val="00406B9E"/>
    <w:rsid w:val="00407158"/>
    <w:rsid w:val="0040715F"/>
    <w:rsid w:val="00407567"/>
    <w:rsid w:val="004075F8"/>
    <w:rsid w:val="004109B4"/>
    <w:rsid w:val="00410D2A"/>
    <w:rsid w:val="00411624"/>
    <w:rsid w:val="004139A3"/>
    <w:rsid w:val="004139B5"/>
    <w:rsid w:val="004141FD"/>
    <w:rsid w:val="00414594"/>
    <w:rsid w:val="00415B9A"/>
    <w:rsid w:val="004175DA"/>
    <w:rsid w:val="004213FD"/>
    <w:rsid w:val="00421624"/>
    <w:rsid w:val="0042231A"/>
    <w:rsid w:val="00423074"/>
    <w:rsid w:val="004232CC"/>
    <w:rsid w:val="0042380C"/>
    <w:rsid w:val="004238AD"/>
    <w:rsid w:val="00423A11"/>
    <w:rsid w:val="00423FA9"/>
    <w:rsid w:val="00424032"/>
    <w:rsid w:val="004240E8"/>
    <w:rsid w:val="00424A34"/>
    <w:rsid w:val="00425A18"/>
    <w:rsid w:val="00426E07"/>
    <w:rsid w:val="00427AAA"/>
    <w:rsid w:val="00427F6D"/>
    <w:rsid w:val="00430064"/>
    <w:rsid w:val="00430622"/>
    <w:rsid w:val="00431353"/>
    <w:rsid w:val="00431623"/>
    <w:rsid w:val="004317FF"/>
    <w:rsid w:val="00431A5E"/>
    <w:rsid w:val="00431D33"/>
    <w:rsid w:val="00432569"/>
    <w:rsid w:val="00432AEE"/>
    <w:rsid w:val="00432EA6"/>
    <w:rsid w:val="0043322F"/>
    <w:rsid w:val="00434607"/>
    <w:rsid w:val="00435EB1"/>
    <w:rsid w:val="00436E27"/>
    <w:rsid w:val="004376CA"/>
    <w:rsid w:val="00437B29"/>
    <w:rsid w:val="00443314"/>
    <w:rsid w:val="004436BC"/>
    <w:rsid w:val="00444721"/>
    <w:rsid w:val="004449E0"/>
    <w:rsid w:val="00444A05"/>
    <w:rsid w:val="00444F6E"/>
    <w:rsid w:val="00445468"/>
    <w:rsid w:val="00445953"/>
    <w:rsid w:val="00445F16"/>
    <w:rsid w:val="00446421"/>
    <w:rsid w:val="0044692E"/>
    <w:rsid w:val="00450126"/>
    <w:rsid w:val="00452923"/>
    <w:rsid w:val="0045533D"/>
    <w:rsid w:val="00455E85"/>
    <w:rsid w:val="00456035"/>
    <w:rsid w:val="00456F8C"/>
    <w:rsid w:val="004573B7"/>
    <w:rsid w:val="00457C37"/>
    <w:rsid w:val="0046100D"/>
    <w:rsid w:val="00461176"/>
    <w:rsid w:val="00461334"/>
    <w:rsid w:val="004615A8"/>
    <w:rsid w:val="00461FE9"/>
    <w:rsid w:val="00463447"/>
    <w:rsid w:val="00464D11"/>
    <w:rsid w:val="004653C6"/>
    <w:rsid w:val="004657C4"/>
    <w:rsid w:val="00466784"/>
    <w:rsid w:val="00466D07"/>
    <w:rsid w:val="00467088"/>
    <w:rsid w:val="00467129"/>
    <w:rsid w:val="0046727B"/>
    <w:rsid w:val="00467D71"/>
    <w:rsid w:val="0047061E"/>
    <w:rsid w:val="00471591"/>
    <w:rsid w:val="00471A47"/>
    <w:rsid w:val="00471D14"/>
    <w:rsid w:val="00473935"/>
    <w:rsid w:val="0047412D"/>
    <w:rsid w:val="00474184"/>
    <w:rsid w:val="00477253"/>
    <w:rsid w:val="004801E3"/>
    <w:rsid w:val="0048083D"/>
    <w:rsid w:val="0048138B"/>
    <w:rsid w:val="0048178C"/>
    <w:rsid w:val="00483C84"/>
    <w:rsid w:val="004841BD"/>
    <w:rsid w:val="00484682"/>
    <w:rsid w:val="00484704"/>
    <w:rsid w:val="00485FF6"/>
    <w:rsid w:val="00486B23"/>
    <w:rsid w:val="00487527"/>
    <w:rsid w:val="00487690"/>
    <w:rsid w:val="00487A13"/>
    <w:rsid w:val="00490450"/>
    <w:rsid w:val="00490697"/>
    <w:rsid w:val="00490CD6"/>
    <w:rsid w:val="0049233C"/>
    <w:rsid w:val="004933EF"/>
    <w:rsid w:val="00493F1E"/>
    <w:rsid w:val="00494EF0"/>
    <w:rsid w:val="004966ED"/>
    <w:rsid w:val="00496C3F"/>
    <w:rsid w:val="00497232"/>
    <w:rsid w:val="00497544"/>
    <w:rsid w:val="00497868"/>
    <w:rsid w:val="004A0B54"/>
    <w:rsid w:val="004A1B0E"/>
    <w:rsid w:val="004A1DB6"/>
    <w:rsid w:val="004A2865"/>
    <w:rsid w:val="004A3CEA"/>
    <w:rsid w:val="004A3CFA"/>
    <w:rsid w:val="004A4E30"/>
    <w:rsid w:val="004A53E6"/>
    <w:rsid w:val="004A5465"/>
    <w:rsid w:val="004A597B"/>
    <w:rsid w:val="004A59F6"/>
    <w:rsid w:val="004A5C58"/>
    <w:rsid w:val="004A65A8"/>
    <w:rsid w:val="004A684E"/>
    <w:rsid w:val="004A68CD"/>
    <w:rsid w:val="004A7B60"/>
    <w:rsid w:val="004B0BE8"/>
    <w:rsid w:val="004B0D99"/>
    <w:rsid w:val="004B1814"/>
    <w:rsid w:val="004B1E22"/>
    <w:rsid w:val="004B2F6E"/>
    <w:rsid w:val="004B5A27"/>
    <w:rsid w:val="004B5F18"/>
    <w:rsid w:val="004B67DF"/>
    <w:rsid w:val="004B7677"/>
    <w:rsid w:val="004C1774"/>
    <w:rsid w:val="004C3695"/>
    <w:rsid w:val="004C5CF0"/>
    <w:rsid w:val="004C5DAE"/>
    <w:rsid w:val="004C5F9F"/>
    <w:rsid w:val="004C6144"/>
    <w:rsid w:val="004C661D"/>
    <w:rsid w:val="004C6F79"/>
    <w:rsid w:val="004C7A31"/>
    <w:rsid w:val="004C7B1F"/>
    <w:rsid w:val="004C7B98"/>
    <w:rsid w:val="004D2987"/>
    <w:rsid w:val="004D2FB4"/>
    <w:rsid w:val="004D3AA6"/>
    <w:rsid w:val="004D43D7"/>
    <w:rsid w:val="004D4D01"/>
    <w:rsid w:val="004D526E"/>
    <w:rsid w:val="004D5843"/>
    <w:rsid w:val="004D61A6"/>
    <w:rsid w:val="004E05C9"/>
    <w:rsid w:val="004E0DB5"/>
    <w:rsid w:val="004E13B3"/>
    <w:rsid w:val="004E1669"/>
    <w:rsid w:val="004E2DBC"/>
    <w:rsid w:val="004E38F3"/>
    <w:rsid w:val="004E452F"/>
    <w:rsid w:val="004E471B"/>
    <w:rsid w:val="004E5B98"/>
    <w:rsid w:val="004E5DD2"/>
    <w:rsid w:val="004E7569"/>
    <w:rsid w:val="004E7B72"/>
    <w:rsid w:val="004F05BA"/>
    <w:rsid w:val="004F0FBC"/>
    <w:rsid w:val="004F1049"/>
    <w:rsid w:val="004F10DC"/>
    <w:rsid w:val="004F1B65"/>
    <w:rsid w:val="004F3422"/>
    <w:rsid w:val="004F4843"/>
    <w:rsid w:val="004F4B9F"/>
    <w:rsid w:val="004F5319"/>
    <w:rsid w:val="004F5800"/>
    <w:rsid w:val="004F5F0D"/>
    <w:rsid w:val="004F61DC"/>
    <w:rsid w:val="004F6968"/>
    <w:rsid w:val="004F6DD8"/>
    <w:rsid w:val="004F6F4B"/>
    <w:rsid w:val="004F70B8"/>
    <w:rsid w:val="005005DA"/>
    <w:rsid w:val="0050167A"/>
    <w:rsid w:val="00501ED2"/>
    <w:rsid w:val="005033D9"/>
    <w:rsid w:val="00503428"/>
    <w:rsid w:val="00504AB2"/>
    <w:rsid w:val="0050580D"/>
    <w:rsid w:val="00505918"/>
    <w:rsid w:val="00506E59"/>
    <w:rsid w:val="005073CA"/>
    <w:rsid w:val="00507763"/>
    <w:rsid w:val="00507C18"/>
    <w:rsid w:val="005101C4"/>
    <w:rsid w:val="005103EB"/>
    <w:rsid w:val="00510916"/>
    <w:rsid w:val="00510A72"/>
    <w:rsid w:val="00511215"/>
    <w:rsid w:val="00511403"/>
    <w:rsid w:val="00511EF9"/>
    <w:rsid w:val="005120F3"/>
    <w:rsid w:val="00512CBA"/>
    <w:rsid w:val="00512FF8"/>
    <w:rsid w:val="00513B19"/>
    <w:rsid w:val="00513DE4"/>
    <w:rsid w:val="00514570"/>
    <w:rsid w:val="00517CE0"/>
    <w:rsid w:val="00517F00"/>
    <w:rsid w:val="00520312"/>
    <w:rsid w:val="0052066E"/>
    <w:rsid w:val="00520EB8"/>
    <w:rsid w:val="00523415"/>
    <w:rsid w:val="00523977"/>
    <w:rsid w:val="00523A71"/>
    <w:rsid w:val="00523C83"/>
    <w:rsid w:val="00523FD8"/>
    <w:rsid w:val="005247F7"/>
    <w:rsid w:val="00524AB6"/>
    <w:rsid w:val="0052548B"/>
    <w:rsid w:val="00525B38"/>
    <w:rsid w:val="00525DAE"/>
    <w:rsid w:val="005265D8"/>
    <w:rsid w:val="005268BC"/>
    <w:rsid w:val="00526EC3"/>
    <w:rsid w:val="00526EED"/>
    <w:rsid w:val="00527144"/>
    <w:rsid w:val="0052747D"/>
    <w:rsid w:val="00527789"/>
    <w:rsid w:val="00527C22"/>
    <w:rsid w:val="0053046D"/>
    <w:rsid w:val="0053065B"/>
    <w:rsid w:val="00531153"/>
    <w:rsid w:val="005311A6"/>
    <w:rsid w:val="0053139C"/>
    <w:rsid w:val="005319D5"/>
    <w:rsid w:val="00532408"/>
    <w:rsid w:val="0053267D"/>
    <w:rsid w:val="00533325"/>
    <w:rsid w:val="005333B0"/>
    <w:rsid w:val="005338AC"/>
    <w:rsid w:val="00534938"/>
    <w:rsid w:val="0053620A"/>
    <w:rsid w:val="00536516"/>
    <w:rsid w:val="00537B64"/>
    <w:rsid w:val="00537BD1"/>
    <w:rsid w:val="00537D48"/>
    <w:rsid w:val="00540217"/>
    <w:rsid w:val="00540470"/>
    <w:rsid w:val="00540543"/>
    <w:rsid w:val="00540DB0"/>
    <w:rsid w:val="00540E32"/>
    <w:rsid w:val="00542AD1"/>
    <w:rsid w:val="0054325D"/>
    <w:rsid w:val="00543B60"/>
    <w:rsid w:val="00543F92"/>
    <w:rsid w:val="00545FB4"/>
    <w:rsid w:val="005461BB"/>
    <w:rsid w:val="005502C9"/>
    <w:rsid w:val="005511BB"/>
    <w:rsid w:val="005521DC"/>
    <w:rsid w:val="00552A61"/>
    <w:rsid w:val="00552DAA"/>
    <w:rsid w:val="005536F6"/>
    <w:rsid w:val="00553BBB"/>
    <w:rsid w:val="00553E07"/>
    <w:rsid w:val="00553FFA"/>
    <w:rsid w:val="0055497E"/>
    <w:rsid w:val="00555950"/>
    <w:rsid w:val="00555DF2"/>
    <w:rsid w:val="00556469"/>
    <w:rsid w:val="005576C5"/>
    <w:rsid w:val="0055774F"/>
    <w:rsid w:val="00557809"/>
    <w:rsid w:val="00560754"/>
    <w:rsid w:val="00560D60"/>
    <w:rsid w:val="00561C4C"/>
    <w:rsid w:val="00562FA2"/>
    <w:rsid w:val="00562FD9"/>
    <w:rsid w:val="00563248"/>
    <w:rsid w:val="00564112"/>
    <w:rsid w:val="005643FD"/>
    <w:rsid w:val="0056490A"/>
    <w:rsid w:val="00564FF5"/>
    <w:rsid w:val="00565167"/>
    <w:rsid w:val="0056551B"/>
    <w:rsid w:val="005656A5"/>
    <w:rsid w:val="00565C89"/>
    <w:rsid w:val="00565D52"/>
    <w:rsid w:val="00566170"/>
    <w:rsid w:val="00570AF3"/>
    <w:rsid w:val="00570E90"/>
    <w:rsid w:val="0057170C"/>
    <w:rsid w:val="00571DB2"/>
    <w:rsid w:val="0057259B"/>
    <w:rsid w:val="005725C7"/>
    <w:rsid w:val="0057364A"/>
    <w:rsid w:val="00573EE6"/>
    <w:rsid w:val="0057462C"/>
    <w:rsid w:val="005746F8"/>
    <w:rsid w:val="00574D15"/>
    <w:rsid w:val="00574ED4"/>
    <w:rsid w:val="005750D8"/>
    <w:rsid w:val="005754FD"/>
    <w:rsid w:val="00575961"/>
    <w:rsid w:val="005800B9"/>
    <w:rsid w:val="00580907"/>
    <w:rsid w:val="00581455"/>
    <w:rsid w:val="005820EF"/>
    <w:rsid w:val="00582579"/>
    <w:rsid w:val="005830B6"/>
    <w:rsid w:val="00584B1D"/>
    <w:rsid w:val="005852B7"/>
    <w:rsid w:val="0058550D"/>
    <w:rsid w:val="0058591C"/>
    <w:rsid w:val="005859DB"/>
    <w:rsid w:val="00585CB3"/>
    <w:rsid w:val="005860E9"/>
    <w:rsid w:val="0058610B"/>
    <w:rsid w:val="00586620"/>
    <w:rsid w:val="0058671B"/>
    <w:rsid w:val="005868E7"/>
    <w:rsid w:val="00586B18"/>
    <w:rsid w:val="00587DE3"/>
    <w:rsid w:val="005906B9"/>
    <w:rsid w:val="00590D2C"/>
    <w:rsid w:val="00593556"/>
    <w:rsid w:val="005936F8"/>
    <w:rsid w:val="00593C1C"/>
    <w:rsid w:val="005952E2"/>
    <w:rsid w:val="0059586E"/>
    <w:rsid w:val="00595EF8"/>
    <w:rsid w:val="00596A34"/>
    <w:rsid w:val="00596DDD"/>
    <w:rsid w:val="005970AA"/>
    <w:rsid w:val="00597600"/>
    <w:rsid w:val="00597EA4"/>
    <w:rsid w:val="00597F97"/>
    <w:rsid w:val="005A29A4"/>
    <w:rsid w:val="005A2CC1"/>
    <w:rsid w:val="005A2E29"/>
    <w:rsid w:val="005A41CE"/>
    <w:rsid w:val="005A42B3"/>
    <w:rsid w:val="005A5D50"/>
    <w:rsid w:val="005A6B1B"/>
    <w:rsid w:val="005A7126"/>
    <w:rsid w:val="005A7421"/>
    <w:rsid w:val="005A79B0"/>
    <w:rsid w:val="005B023C"/>
    <w:rsid w:val="005B076D"/>
    <w:rsid w:val="005B0B3D"/>
    <w:rsid w:val="005B101D"/>
    <w:rsid w:val="005B10D8"/>
    <w:rsid w:val="005B1724"/>
    <w:rsid w:val="005B19FA"/>
    <w:rsid w:val="005B1D76"/>
    <w:rsid w:val="005B242A"/>
    <w:rsid w:val="005B27AF"/>
    <w:rsid w:val="005B2A97"/>
    <w:rsid w:val="005B2D97"/>
    <w:rsid w:val="005B2EDC"/>
    <w:rsid w:val="005B3433"/>
    <w:rsid w:val="005B4AF4"/>
    <w:rsid w:val="005B4F84"/>
    <w:rsid w:val="005B5751"/>
    <w:rsid w:val="005B6331"/>
    <w:rsid w:val="005B7508"/>
    <w:rsid w:val="005B7A9F"/>
    <w:rsid w:val="005B7BAD"/>
    <w:rsid w:val="005C043A"/>
    <w:rsid w:val="005C09FF"/>
    <w:rsid w:val="005C11BD"/>
    <w:rsid w:val="005C197C"/>
    <w:rsid w:val="005C19B6"/>
    <w:rsid w:val="005C277B"/>
    <w:rsid w:val="005C3268"/>
    <w:rsid w:val="005C35A5"/>
    <w:rsid w:val="005C381A"/>
    <w:rsid w:val="005C3A9A"/>
    <w:rsid w:val="005C40E3"/>
    <w:rsid w:val="005C45E2"/>
    <w:rsid w:val="005C4BFD"/>
    <w:rsid w:val="005C582D"/>
    <w:rsid w:val="005C58F0"/>
    <w:rsid w:val="005C5AB7"/>
    <w:rsid w:val="005C62CE"/>
    <w:rsid w:val="005C645E"/>
    <w:rsid w:val="005D045B"/>
    <w:rsid w:val="005D0EEB"/>
    <w:rsid w:val="005D1451"/>
    <w:rsid w:val="005D1DFD"/>
    <w:rsid w:val="005D342B"/>
    <w:rsid w:val="005D37B7"/>
    <w:rsid w:val="005D49E1"/>
    <w:rsid w:val="005D4A8F"/>
    <w:rsid w:val="005D5C0D"/>
    <w:rsid w:val="005D6594"/>
    <w:rsid w:val="005D75CE"/>
    <w:rsid w:val="005E17BC"/>
    <w:rsid w:val="005E1BCF"/>
    <w:rsid w:val="005E2B7F"/>
    <w:rsid w:val="005E3118"/>
    <w:rsid w:val="005E3CEF"/>
    <w:rsid w:val="005E419C"/>
    <w:rsid w:val="005E44E2"/>
    <w:rsid w:val="005E4B96"/>
    <w:rsid w:val="005E5A94"/>
    <w:rsid w:val="005E5C48"/>
    <w:rsid w:val="005E67B8"/>
    <w:rsid w:val="005E73AA"/>
    <w:rsid w:val="005E7C60"/>
    <w:rsid w:val="005F0F06"/>
    <w:rsid w:val="005F16F9"/>
    <w:rsid w:val="005F247F"/>
    <w:rsid w:val="005F2A80"/>
    <w:rsid w:val="005F318E"/>
    <w:rsid w:val="005F43FF"/>
    <w:rsid w:val="005F7D9B"/>
    <w:rsid w:val="005F7EEE"/>
    <w:rsid w:val="0060031E"/>
    <w:rsid w:val="006006D7"/>
    <w:rsid w:val="00600F50"/>
    <w:rsid w:val="006018ED"/>
    <w:rsid w:val="00601969"/>
    <w:rsid w:val="00601E47"/>
    <w:rsid w:val="0060243E"/>
    <w:rsid w:val="0060288B"/>
    <w:rsid w:val="00602C46"/>
    <w:rsid w:val="0060396B"/>
    <w:rsid w:val="0060526C"/>
    <w:rsid w:val="00606AB7"/>
    <w:rsid w:val="00607BE4"/>
    <w:rsid w:val="00607D33"/>
    <w:rsid w:val="00607D74"/>
    <w:rsid w:val="00607F09"/>
    <w:rsid w:val="006113B5"/>
    <w:rsid w:val="0061149C"/>
    <w:rsid w:val="00611F29"/>
    <w:rsid w:val="00612A4A"/>
    <w:rsid w:val="00613A41"/>
    <w:rsid w:val="00613A62"/>
    <w:rsid w:val="00614B2D"/>
    <w:rsid w:val="00615AD6"/>
    <w:rsid w:val="00615D41"/>
    <w:rsid w:val="00616896"/>
    <w:rsid w:val="00617972"/>
    <w:rsid w:val="006202AE"/>
    <w:rsid w:val="0062030F"/>
    <w:rsid w:val="006203EF"/>
    <w:rsid w:val="00621205"/>
    <w:rsid w:val="0062171A"/>
    <w:rsid w:val="0062217A"/>
    <w:rsid w:val="00622391"/>
    <w:rsid w:val="00623D77"/>
    <w:rsid w:val="006240A3"/>
    <w:rsid w:val="0062512F"/>
    <w:rsid w:val="006252FD"/>
    <w:rsid w:val="006270FB"/>
    <w:rsid w:val="00630142"/>
    <w:rsid w:val="00630A19"/>
    <w:rsid w:val="00630D94"/>
    <w:rsid w:val="006311DF"/>
    <w:rsid w:val="00632377"/>
    <w:rsid w:val="00633928"/>
    <w:rsid w:val="0063469C"/>
    <w:rsid w:val="00634CB6"/>
    <w:rsid w:val="006351F2"/>
    <w:rsid w:val="00636527"/>
    <w:rsid w:val="00636B01"/>
    <w:rsid w:val="00636C24"/>
    <w:rsid w:val="00637032"/>
    <w:rsid w:val="0063763D"/>
    <w:rsid w:val="00640253"/>
    <w:rsid w:val="00640270"/>
    <w:rsid w:val="006408B0"/>
    <w:rsid w:val="00640B3B"/>
    <w:rsid w:val="00641310"/>
    <w:rsid w:val="006415C4"/>
    <w:rsid w:val="006419F4"/>
    <w:rsid w:val="006425FA"/>
    <w:rsid w:val="006430EC"/>
    <w:rsid w:val="00643672"/>
    <w:rsid w:val="0064412C"/>
    <w:rsid w:val="006445DF"/>
    <w:rsid w:val="00644B0A"/>
    <w:rsid w:val="00644EBF"/>
    <w:rsid w:val="00645DB7"/>
    <w:rsid w:val="00645FE3"/>
    <w:rsid w:val="00646017"/>
    <w:rsid w:val="00646248"/>
    <w:rsid w:val="00646393"/>
    <w:rsid w:val="00647CE8"/>
    <w:rsid w:val="00650788"/>
    <w:rsid w:val="00650865"/>
    <w:rsid w:val="006521B0"/>
    <w:rsid w:val="00652733"/>
    <w:rsid w:val="006544B4"/>
    <w:rsid w:val="00654994"/>
    <w:rsid w:val="006550E8"/>
    <w:rsid w:val="00656D96"/>
    <w:rsid w:val="00656DD6"/>
    <w:rsid w:val="006572F1"/>
    <w:rsid w:val="006605B5"/>
    <w:rsid w:val="00660CCF"/>
    <w:rsid w:val="006610BB"/>
    <w:rsid w:val="0066267D"/>
    <w:rsid w:val="00662A6E"/>
    <w:rsid w:val="00663C71"/>
    <w:rsid w:val="00664AAB"/>
    <w:rsid w:val="00664F1D"/>
    <w:rsid w:val="00666802"/>
    <w:rsid w:val="006669B6"/>
    <w:rsid w:val="006670E1"/>
    <w:rsid w:val="006676FB"/>
    <w:rsid w:val="00667C5B"/>
    <w:rsid w:val="00667E9E"/>
    <w:rsid w:val="0067010D"/>
    <w:rsid w:val="00670372"/>
    <w:rsid w:val="00670DAF"/>
    <w:rsid w:val="006713BF"/>
    <w:rsid w:val="00672517"/>
    <w:rsid w:val="00673717"/>
    <w:rsid w:val="0067421A"/>
    <w:rsid w:val="00674907"/>
    <w:rsid w:val="00675985"/>
    <w:rsid w:val="006764DE"/>
    <w:rsid w:val="00677542"/>
    <w:rsid w:val="00677BDA"/>
    <w:rsid w:val="00677CEC"/>
    <w:rsid w:val="00677EB7"/>
    <w:rsid w:val="006802B1"/>
    <w:rsid w:val="006813A7"/>
    <w:rsid w:val="00682547"/>
    <w:rsid w:val="00682AAA"/>
    <w:rsid w:val="00682C91"/>
    <w:rsid w:val="0068369D"/>
    <w:rsid w:val="006848AC"/>
    <w:rsid w:val="00684EFB"/>
    <w:rsid w:val="00684F9B"/>
    <w:rsid w:val="006871AF"/>
    <w:rsid w:val="00687C26"/>
    <w:rsid w:val="00687FE0"/>
    <w:rsid w:val="00690FCA"/>
    <w:rsid w:val="006912D3"/>
    <w:rsid w:val="00691A04"/>
    <w:rsid w:val="00692408"/>
    <w:rsid w:val="006924F1"/>
    <w:rsid w:val="00695765"/>
    <w:rsid w:val="00696209"/>
    <w:rsid w:val="00696555"/>
    <w:rsid w:val="006967FF"/>
    <w:rsid w:val="00696AC1"/>
    <w:rsid w:val="00696CFB"/>
    <w:rsid w:val="006971F2"/>
    <w:rsid w:val="0069735E"/>
    <w:rsid w:val="00697386"/>
    <w:rsid w:val="00697A7A"/>
    <w:rsid w:val="00697DDC"/>
    <w:rsid w:val="006A1278"/>
    <w:rsid w:val="006A1B02"/>
    <w:rsid w:val="006A21EA"/>
    <w:rsid w:val="006A2A9B"/>
    <w:rsid w:val="006A30DB"/>
    <w:rsid w:val="006A359B"/>
    <w:rsid w:val="006A36DE"/>
    <w:rsid w:val="006A37E0"/>
    <w:rsid w:val="006A3AAF"/>
    <w:rsid w:val="006A4153"/>
    <w:rsid w:val="006A425A"/>
    <w:rsid w:val="006A4F0D"/>
    <w:rsid w:val="006A7BE0"/>
    <w:rsid w:val="006B068B"/>
    <w:rsid w:val="006B15E4"/>
    <w:rsid w:val="006B23AE"/>
    <w:rsid w:val="006B2A65"/>
    <w:rsid w:val="006B3505"/>
    <w:rsid w:val="006B48F0"/>
    <w:rsid w:val="006B4CE4"/>
    <w:rsid w:val="006B5094"/>
    <w:rsid w:val="006B5D63"/>
    <w:rsid w:val="006B6B71"/>
    <w:rsid w:val="006B7044"/>
    <w:rsid w:val="006B782B"/>
    <w:rsid w:val="006B78FE"/>
    <w:rsid w:val="006B7D94"/>
    <w:rsid w:val="006C0729"/>
    <w:rsid w:val="006C0A9D"/>
    <w:rsid w:val="006C10BE"/>
    <w:rsid w:val="006C1690"/>
    <w:rsid w:val="006C1A33"/>
    <w:rsid w:val="006C2991"/>
    <w:rsid w:val="006C2B6F"/>
    <w:rsid w:val="006C3068"/>
    <w:rsid w:val="006C3FE6"/>
    <w:rsid w:val="006C4918"/>
    <w:rsid w:val="006C52EC"/>
    <w:rsid w:val="006C5360"/>
    <w:rsid w:val="006C6A9A"/>
    <w:rsid w:val="006C6CCD"/>
    <w:rsid w:val="006C6D83"/>
    <w:rsid w:val="006C6EF9"/>
    <w:rsid w:val="006D0E2D"/>
    <w:rsid w:val="006D0E5B"/>
    <w:rsid w:val="006D1D7C"/>
    <w:rsid w:val="006D2002"/>
    <w:rsid w:val="006D381C"/>
    <w:rsid w:val="006D4167"/>
    <w:rsid w:val="006D5DF7"/>
    <w:rsid w:val="006D605F"/>
    <w:rsid w:val="006D792D"/>
    <w:rsid w:val="006E001B"/>
    <w:rsid w:val="006E022B"/>
    <w:rsid w:val="006E04BB"/>
    <w:rsid w:val="006E23C8"/>
    <w:rsid w:val="006E2C46"/>
    <w:rsid w:val="006E40B6"/>
    <w:rsid w:val="006E5024"/>
    <w:rsid w:val="006E54D9"/>
    <w:rsid w:val="006E5AF0"/>
    <w:rsid w:val="006E64E8"/>
    <w:rsid w:val="006E6FC8"/>
    <w:rsid w:val="006F091F"/>
    <w:rsid w:val="006F134C"/>
    <w:rsid w:val="006F163D"/>
    <w:rsid w:val="006F1D66"/>
    <w:rsid w:val="006F2C9E"/>
    <w:rsid w:val="006F3447"/>
    <w:rsid w:val="006F44CD"/>
    <w:rsid w:val="006F5593"/>
    <w:rsid w:val="006F5BC7"/>
    <w:rsid w:val="006F5FB6"/>
    <w:rsid w:val="006F687C"/>
    <w:rsid w:val="006F6BAD"/>
    <w:rsid w:val="00700860"/>
    <w:rsid w:val="00701CDF"/>
    <w:rsid w:val="00701CE4"/>
    <w:rsid w:val="00702008"/>
    <w:rsid w:val="007026A8"/>
    <w:rsid w:val="007026AF"/>
    <w:rsid w:val="0070299E"/>
    <w:rsid w:val="00702F9A"/>
    <w:rsid w:val="007031FE"/>
    <w:rsid w:val="0070345D"/>
    <w:rsid w:val="0070370A"/>
    <w:rsid w:val="00703B87"/>
    <w:rsid w:val="007046C7"/>
    <w:rsid w:val="00704964"/>
    <w:rsid w:val="00704BAA"/>
    <w:rsid w:val="007053E4"/>
    <w:rsid w:val="00705C02"/>
    <w:rsid w:val="00706960"/>
    <w:rsid w:val="00706C86"/>
    <w:rsid w:val="00706DFA"/>
    <w:rsid w:val="007078C0"/>
    <w:rsid w:val="00707A10"/>
    <w:rsid w:val="007110B2"/>
    <w:rsid w:val="00711DE3"/>
    <w:rsid w:val="00713082"/>
    <w:rsid w:val="0071328C"/>
    <w:rsid w:val="00714100"/>
    <w:rsid w:val="007142C4"/>
    <w:rsid w:val="00714A8D"/>
    <w:rsid w:val="007164FF"/>
    <w:rsid w:val="0071658A"/>
    <w:rsid w:val="007166F2"/>
    <w:rsid w:val="00716A98"/>
    <w:rsid w:val="00717212"/>
    <w:rsid w:val="007215DD"/>
    <w:rsid w:val="00722365"/>
    <w:rsid w:val="00722F31"/>
    <w:rsid w:val="00723904"/>
    <w:rsid w:val="00723E9F"/>
    <w:rsid w:val="00725C94"/>
    <w:rsid w:val="00726055"/>
    <w:rsid w:val="00727E60"/>
    <w:rsid w:val="00730CC5"/>
    <w:rsid w:val="007319CC"/>
    <w:rsid w:val="0073286C"/>
    <w:rsid w:val="007329BD"/>
    <w:rsid w:val="00733621"/>
    <w:rsid w:val="007340A6"/>
    <w:rsid w:val="007340D1"/>
    <w:rsid w:val="00734B1C"/>
    <w:rsid w:val="00735B5F"/>
    <w:rsid w:val="00735CF1"/>
    <w:rsid w:val="007362EB"/>
    <w:rsid w:val="00737559"/>
    <w:rsid w:val="00737AD9"/>
    <w:rsid w:val="00740A3B"/>
    <w:rsid w:val="00741198"/>
    <w:rsid w:val="00741641"/>
    <w:rsid w:val="0074297F"/>
    <w:rsid w:val="00742CD0"/>
    <w:rsid w:val="00742DD9"/>
    <w:rsid w:val="00742DE7"/>
    <w:rsid w:val="00743031"/>
    <w:rsid w:val="0074312B"/>
    <w:rsid w:val="007438EF"/>
    <w:rsid w:val="007439CF"/>
    <w:rsid w:val="00743F7D"/>
    <w:rsid w:val="00744781"/>
    <w:rsid w:val="00744A01"/>
    <w:rsid w:val="00744E1C"/>
    <w:rsid w:val="00745465"/>
    <w:rsid w:val="00745B4A"/>
    <w:rsid w:val="0074601F"/>
    <w:rsid w:val="00746829"/>
    <w:rsid w:val="00747295"/>
    <w:rsid w:val="00747C68"/>
    <w:rsid w:val="007512FE"/>
    <w:rsid w:val="007517F0"/>
    <w:rsid w:val="00752478"/>
    <w:rsid w:val="007532C4"/>
    <w:rsid w:val="00753C8C"/>
    <w:rsid w:val="00755BD9"/>
    <w:rsid w:val="00755DA5"/>
    <w:rsid w:val="00755DD4"/>
    <w:rsid w:val="00756272"/>
    <w:rsid w:val="007562D7"/>
    <w:rsid w:val="00756344"/>
    <w:rsid w:val="00757CD2"/>
    <w:rsid w:val="00757D57"/>
    <w:rsid w:val="00760370"/>
    <w:rsid w:val="0076137B"/>
    <w:rsid w:val="00761CFE"/>
    <w:rsid w:val="00762A8B"/>
    <w:rsid w:val="00762B63"/>
    <w:rsid w:val="00762DB4"/>
    <w:rsid w:val="00763C18"/>
    <w:rsid w:val="007648FB"/>
    <w:rsid w:val="00767BF0"/>
    <w:rsid w:val="00770612"/>
    <w:rsid w:val="00770B53"/>
    <w:rsid w:val="00770C7E"/>
    <w:rsid w:val="00771A2B"/>
    <w:rsid w:val="00774236"/>
    <w:rsid w:val="00774487"/>
    <w:rsid w:val="00774541"/>
    <w:rsid w:val="00774697"/>
    <w:rsid w:val="00774A3D"/>
    <w:rsid w:val="00774DD6"/>
    <w:rsid w:val="00775DE6"/>
    <w:rsid w:val="007763B4"/>
    <w:rsid w:val="007763B7"/>
    <w:rsid w:val="00777819"/>
    <w:rsid w:val="00777CC3"/>
    <w:rsid w:val="00780635"/>
    <w:rsid w:val="00781922"/>
    <w:rsid w:val="00781BCF"/>
    <w:rsid w:val="0078210A"/>
    <w:rsid w:val="007822E6"/>
    <w:rsid w:val="007826F9"/>
    <w:rsid w:val="00783022"/>
    <w:rsid w:val="007846BE"/>
    <w:rsid w:val="00784EF7"/>
    <w:rsid w:val="00787F3F"/>
    <w:rsid w:val="00790E8E"/>
    <w:rsid w:val="0079153A"/>
    <w:rsid w:val="00791A5A"/>
    <w:rsid w:val="00791F2D"/>
    <w:rsid w:val="00792A27"/>
    <w:rsid w:val="00792A98"/>
    <w:rsid w:val="00793489"/>
    <w:rsid w:val="0079386F"/>
    <w:rsid w:val="00793BE6"/>
    <w:rsid w:val="00793E4C"/>
    <w:rsid w:val="007950AC"/>
    <w:rsid w:val="007955AC"/>
    <w:rsid w:val="00795FC5"/>
    <w:rsid w:val="00796361"/>
    <w:rsid w:val="00796C62"/>
    <w:rsid w:val="0079782F"/>
    <w:rsid w:val="00797DE1"/>
    <w:rsid w:val="007A00D2"/>
    <w:rsid w:val="007A09BF"/>
    <w:rsid w:val="007A1F27"/>
    <w:rsid w:val="007A1FC9"/>
    <w:rsid w:val="007A2123"/>
    <w:rsid w:val="007A3ED6"/>
    <w:rsid w:val="007A516A"/>
    <w:rsid w:val="007A5C09"/>
    <w:rsid w:val="007A6310"/>
    <w:rsid w:val="007A729B"/>
    <w:rsid w:val="007B077E"/>
    <w:rsid w:val="007B09C9"/>
    <w:rsid w:val="007B1364"/>
    <w:rsid w:val="007B3964"/>
    <w:rsid w:val="007B3E00"/>
    <w:rsid w:val="007B4E02"/>
    <w:rsid w:val="007B5882"/>
    <w:rsid w:val="007B7867"/>
    <w:rsid w:val="007C0680"/>
    <w:rsid w:val="007C0D97"/>
    <w:rsid w:val="007C11A5"/>
    <w:rsid w:val="007C12D9"/>
    <w:rsid w:val="007C175B"/>
    <w:rsid w:val="007C23F8"/>
    <w:rsid w:val="007C3270"/>
    <w:rsid w:val="007C375E"/>
    <w:rsid w:val="007C4498"/>
    <w:rsid w:val="007C5BDE"/>
    <w:rsid w:val="007C79DE"/>
    <w:rsid w:val="007D0436"/>
    <w:rsid w:val="007D0A5A"/>
    <w:rsid w:val="007D0C4A"/>
    <w:rsid w:val="007D15B7"/>
    <w:rsid w:val="007D1D5F"/>
    <w:rsid w:val="007D2F61"/>
    <w:rsid w:val="007D3EB9"/>
    <w:rsid w:val="007D5A07"/>
    <w:rsid w:val="007D5E22"/>
    <w:rsid w:val="007D682C"/>
    <w:rsid w:val="007D735A"/>
    <w:rsid w:val="007D7942"/>
    <w:rsid w:val="007D7F66"/>
    <w:rsid w:val="007E0AE8"/>
    <w:rsid w:val="007E1012"/>
    <w:rsid w:val="007E145F"/>
    <w:rsid w:val="007E167E"/>
    <w:rsid w:val="007E1F2E"/>
    <w:rsid w:val="007E25F2"/>
    <w:rsid w:val="007E3ACE"/>
    <w:rsid w:val="007E3E8E"/>
    <w:rsid w:val="007E475F"/>
    <w:rsid w:val="007E58FA"/>
    <w:rsid w:val="007F1643"/>
    <w:rsid w:val="007F17D2"/>
    <w:rsid w:val="007F26E2"/>
    <w:rsid w:val="007F2E46"/>
    <w:rsid w:val="007F349A"/>
    <w:rsid w:val="007F379C"/>
    <w:rsid w:val="007F4F0E"/>
    <w:rsid w:val="007F5B30"/>
    <w:rsid w:val="007F5E61"/>
    <w:rsid w:val="007F6783"/>
    <w:rsid w:val="007F75CC"/>
    <w:rsid w:val="007F7B12"/>
    <w:rsid w:val="007F7B30"/>
    <w:rsid w:val="008006FE"/>
    <w:rsid w:val="00800A5E"/>
    <w:rsid w:val="008012E0"/>
    <w:rsid w:val="00801568"/>
    <w:rsid w:val="00802458"/>
    <w:rsid w:val="008033BF"/>
    <w:rsid w:val="00803F3D"/>
    <w:rsid w:val="00803FAA"/>
    <w:rsid w:val="0080424A"/>
    <w:rsid w:val="008042D6"/>
    <w:rsid w:val="00804ECB"/>
    <w:rsid w:val="00805902"/>
    <w:rsid w:val="008059EC"/>
    <w:rsid w:val="00806022"/>
    <w:rsid w:val="00806543"/>
    <w:rsid w:val="00806C34"/>
    <w:rsid w:val="0080707D"/>
    <w:rsid w:val="0081086B"/>
    <w:rsid w:val="00811BE0"/>
    <w:rsid w:val="0081252A"/>
    <w:rsid w:val="00812C6C"/>
    <w:rsid w:val="00814212"/>
    <w:rsid w:val="008152CD"/>
    <w:rsid w:val="008152DC"/>
    <w:rsid w:val="00816814"/>
    <w:rsid w:val="00816AAD"/>
    <w:rsid w:val="0081719C"/>
    <w:rsid w:val="0082002A"/>
    <w:rsid w:val="00820807"/>
    <w:rsid w:val="00820A72"/>
    <w:rsid w:val="00820F69"/>
    <w:rsid w:val="00821E33"/>
    <w:rsid w:val="00822563"/>
    <w:rsid w:val="00822612"/>
    <w:rsid w:val="008227BB"/>
    <w:rsid w:val="00824567"/>
    <w:rsid w:val="00824AB5"/>
    <w:rsid w:val="00824DCB"/>
    <w:rsid w:val="00825239"/>
    <w:rsid w:val="00825C05"/>
    <w:rsid w:val="00825EF5"/>
    <w:rsid w:val="008268E8"/>
    <w:rsid w:val="00826A5A"/>
    <w:rsid w:val="00826B5C"/>
    <w:rsid w:val="00826F73"/>
    <w:rsid w:val="00830590"/>
    <w:rsid w:val="00830FC9"/>
    <w:rsid w:val="00831E8A"/>
    <w:rsid w:val="008325BF"/>
    <w:rsid w:val="00833DDB"/>
    <w:rsid w:val="008343FB"/>
    <w:rsid w:val="0083444F"/>
    <w:rsid w:val="0083505C"/>
    <w:rsid w:val="00835600"/>
    <w:rsid w:val="00835AA2"/>
    <w:rsid w:val="008367A4"/>
    <w:rsid w:val="00837272"/>
    <w:rsid w:val="00840A37"/>
    <w:rsid w:val="008419FC"/>
    <w:rsid w:val="0084203B"/>
    <w:rsid w:val="00842608"/>
    <w:rsid w:val="00843039"/>
    <w:rsid w:val="0084377C"/>
    <w:rsid w:val="008437B9"/>
    <w:rsid w:val="00843DD3"/>
    <w:rsid w:val="00844712"/>
    <w:rsid w:val="0084483E"/>
    <w:rsid w:val="00844DF1"/>
    <w:rsid w:val="00844EFB"/>
    <w:rsid w:val="008450A8"/>
    <w:rsid w:val="008451AA"/>
    <w:rsid w:val="00845546"/>
    <w:rsid w:val="0084613B"/>
    <w:rsid w:val="008472A2"/>
    <w:rsid w:val="00847356"/>
    <w:rsid w:val="00851F17"/>
    <w:rsid w:val="00852150"/>
    <w:rsid w:val="0085363F"/>
    <w:rsid w:val="00853699"/>
    <w:rsid w:val="00854F57"/>
    <w:rsid w:val="00855138"/>
    <w:rsid w:val="00855E0B"/>
    <w:rsid w:val="00855F86"/>
    <w:rsid w:val="00855FEA"/>
    <w:rsid w:val="0085626D"/>
    <w:rsid w:val="00856EC1"/>
    <w:rsid w:val="008570C1"/>
    <w:rsid w:val="008577DD"/>
    <w:rsid w:val="00857A19"/>
    <w:rsid w:val="00857E17"/>
    <w:rsid w:val="008608D3"/>
    <w:rsid w:val="00861DC4"/>
    <w:rsid w:val="008623A0"/>
    <w:rsid w:val="008627B5"/>
    <w:rsid w:val="00863A14"/>
    <w:rsid w:val="00863B83"/>
    <w:rsid w:val="00864510"/>
    <w:rsid w:val="00864B9D"/>
    <w:rsid w:val="0086617C"/>
    <w:rsid w:val="00866907"/>
    <w:rsid w:val="00866CE1"/>
    <w:rsid w:val="0086702B"/>
    <w:rsid w:val="00867428"/>
    <w:rsid w:val="00867977"/>
    <w:rsid w:val="008701C7"/>
    <w:rsid w:val="00872036"/>
    <w:rsid w:val="00873BA1"/>
    <w:rsid w:val="00873ED9"/>
    <w:rsid w:val="00874B71"/>
    <w:rsid w:val="00874DC2"/>
    <w:rsid w:val="008759A4"/>
    <w:rsid w:val="00875A03"/>
    <w:rsid w:val="00875C12"/>
    <w:rsid w:val="00875D97"/>
    <w:rsid w:val="00876B7F"/>
    <w:rsid w:val="008772E4"/>
    <w:rsid w:val="00877738"/>
    <w:rsid w:val="008777E1"/>
    <w:rsid w:val="008778EA"/>
    <w:rsid w:val="00880C74"/>
    <w:rsid w:val="00880E83"/>
    <w:rsid w:val="00880F67"/>
    <w:rsid w:val="008815FD"/>
    <w:rsid w:val="0088201C"/>
    <w:rsid w:val="00882E68"/>
    <w:rsid w:val="00882EC5"/>
    <w:rsid w:val="00883B5F"/>
    <w:rsid w:val="00883CF5"/>
    <w:rsid w:val="00884490"/>
    <w:rsid w:val="008844EB"/>
    <w:rsid w:val="0088495B"/>
    <w:rsid w:val="008849B1"/>
    <w:rsid w:val="00884D3B"/>
    <w:rsid w:val="00885C00"/>
    <w:rsid w:val="00885D36"/>
    <w:rsid w:val="008861EF"/>
    <w:rsid w:val="0088629F"/>
    <w:rsid w:val="0088641B"/>
    <w:rsid w:val="00886457"/>
    <w:rsid w:val="00887A43"/>
    <w:rsid w:val="00887C59"/>
    <w:rsid w:val="0089096E"/>
    <w:rsid w:val="00890ABE"/>
    <w:rsid w:val="00891269"/>
    <w:rsid w:val="0089295D"/>
    <w:rsid w:val="00893E08"/>
    <w:rsid w:val="00893FDC"/>
    <w:rsid w:val="0089491F"/>
    <w:rsid w:val="00894C38"/>
    <w:rsid w:val="00894F01"/>
    <w:rsid w:val="00895F7C"/>
    <w:rsid w:val="00896518"/>
    <w:rsid w:val="00896A6B"/>
    <w:rsid w:val="008A0701"/>
    <w:rsid w:val="008A17DF"/>
    <w:rsid w:val="008A1D86"/>
    <w:rsid w:val="008A2D6E"/>
    <w:rsid w:val="008A2EC4"/>
    <w:rsid w:val="008A2F80"/>
    <w:rsid w:val="008A3E02"/>
    <w:rsid w:val="008A4047"/>
    <w:rsid w:val="008A47AA"/>
    <w:rsid w:val="008A4E3B"/>
    <w:rsid w:val="008A549E"/>
    <w:rsid w:val="008A6612"/>
    <w:rsid w:val="008A6DE2"/>
    <w:rsid w:val="008A73A9"/>
    <w:rsid w:val="008A73B8"/>
    <w:rsid w:val="008A7C10"/>
    <w:rsid w:val="008B0761"/>
    <w:rsid w:val="008B1115"/>
    <w:rsid w:val="008B1DFA"/>
    <w:rsid w:val="008B209E"/>
    <w:rsid w:val="008B2889"/>
    <w:rsid w:val="008B2BE5"/>
    <w:rsid w:val="008B2F27"/>
    <w:rsid w:val="008B33D1"/>
    <w:rsid w:val="008B343D"/>
    <w:rsid w:val="008B34EB"/>
    <w:rsid w:val="008B5507"/>
    <w:rsid w:val="008B5AC2"/>
    <w:rsid w:val="008B5BB3"/>
    <w:rsid w:val="008B6FA7"/>
    <w:rsid w:val="008C0D65"/>
    <w:rsid w:val="008C102F"/>
    <w:rsid w:val="008C3C3A"/>
    <w:rsid w:val="008C3F1A"/>
    <w:rsid w:val="008C453A"/>
    <w:rsid w:val="008C4CB9"/>
    <w:rsid w:val="008C4D8D"/>
    <w:rsid w:val="008C4E1F"/>
    <w:rsid w:val="008C593C"/>
    <w:rsid w:val="008C6AB9"/>
    <w:rsid w:val="008D18C2"/>
    <w:rsid w:val="008D19D6"/>
    <w:rsid w:val="008D1B8B"/>
    <w:rsid w:val="008D2674"/>
    <w:rsid w:val="008D31DB"/>
    <w:rsid w:val="008D348E"/>
    <w:rsid w:val="008D356D"/>
    <w:rsid w:val="008D3BFB"/>
    <w:rsid w:val="008D3C20"/>
    <w:rsid w:val="008D49FA"/>
    <w:rsid w:val="008D4C7D"/>
    <w:rsid w:val="008D4E50"/>
    <w:rsid w:val="008D6582"/>
    <w:rsid w:val="008D73FB"/>
    <w:rsid w:val="008D7AAC"/>
    <w:rsid w:val="008D7AD2"/>
    <w:rsid w:val="008E0D70"/>
    <w:rsid w:val="008E133D"/>
    <w:rsid w:val="008E184D"/>
    <w:rsid w:val="008E1B27"/>
    <w:rsid w:val="008E21C2"/>
    <w:rsid w:val="008E2DCE"/>
    <w:rsid w:val="008E5288"/>
    <w:rsid w:val="008E5A04"/>
    <w:rsid w:val="008E7C8A"/>
    <w:rsid w:val="008F001E"/>
    <w:rsid w:val="008F055E"/>
    <w:rsid w:val="008F08CB"/>
    <w:rsid w:val="008F1688"/>
    <w:rsid w:val="008F16D9"/>
    <w:rsid w:val="008F17F5"/>
    <w:rsid w:val="008F1BF3"/>
    <w:rsid w:val="008F1DF7"/>
    <w:rsid w:val="008F2193"/>
    <w:rsid w:val="008F25A0"/>
    <w:rsid w:val="008F25C8"/>
    <w:rsid w:val="008F3315"/>
    <w:rsid w:val="008F3FE0"/>
    <w:rsid w:val="008F4332"/>
    <w:rsid w:val="008F52FA"/>
    <w:rsid w:val="008F7274"/>
    <w:rsid w:val="009003EA"/>
    <w:rsid w:val="009008FC"/>
    <w:rsid w:val="00900E71"/>
    <w:rsid w:val="00902C40"/>
    <w:rsid w:val="00903173"/>
    <w:rsid w:val="00903FC5"/>
    <w:rsid w:val="00904CE7"/>
    <w:rsid w:val="00904E40"/>
    <w:rsid w:val="00905679"/>
    <w:rsid w:val="00906558"/>
    <w:rsid w:val="00906E57"/>
    <w:rsid w:val="00907015"/>
    <w:rsid w:val="009070FE"/>
    <w:rsid w:val="009076E2"/>
    <w:rsid w:val="009111E0"/>
    <w:rsid w:val="00911AB0"/>
    <w:rsid w:val="00911C87"/>
    <w:rsid w:val="009127C8"/>
    <w:rsid w:val="00912F51"/>
    <w:rsid w:val="00914C60"/>
    <w:rsid w:val="00916164"/>
    <w:rsid w:val="00916710"/>
    <w:rsid w:val="009172E3"/>
    <w:rsid w:val="0091739B"/>
    <w:rsid w:val="00917D76"/>
    <w:rsid w:val="00917F15"/>
    <w:rsid w:val="009203F0"/>
    <w:rsid w:val="00922A94"/>
    <w:rsid w:val="00923095"/>
    <w:rsid w:val="00923374"/>
    <w:rsid w:val="00923867"/>
    <w:rsid w:val="00923887"/>
    <w:rsid w:val="00924B49"/>
    <w:rsid w:val="009255DC"/>
    <w:rsid w:val="009259EB"/>
    <w:rsid w:val="009266E7"/>
    <w:rsid w:val="00926BA0"/>
    <w:rsid w:val="00927093"/>
    <w:rsid w:val="00927E3D"/>
    <w:rsid w:val="00931504"/>
    <w:rsid w:val="00931C61"/>
    <w:rsid w:val="00932526"/>
    <w:rsid w:val="00932654"/>
    <w:rsid w:val="0093318D"/>
    <w:rsid w:val="00934C64"/>
    <w:rsid w:val="00934CF7"/>
    <w:rsid w:val="009370BA"/>
    <w:rsid w:val="00937987"/>
    <w:rsid w:val="00937BA2"/>
    <w:rsid w:val="0094025E"/>
    <w:rsid w:val="00940DAA"/>
    <w:rsid w:val="009414B4"/>
    <w:rsid w:val="009418E6"/>
    <w:rsid w:val="00941D54"/>
    <w:rsid w:val="00942648"/>
    <w:rsid w:val="009434A6"/>
    <w:rsid w:val="009437E0"/>
    <w:rsid w:val="00943D39"/>
    <w:rsid w:val="009459F8"/>
    <w:rsid w:val="00946804"/>
    <w:rsid w:val="009468A4"/>
    <w:rsid w:val="009471C6"/>
    <w:rsid w:val="00947706"/>
    <w:rsid w:val="00950425"/>
    <w:rsid w:val="009508A4"/>
    <w:rsid w:val="00951655"/>
    <w:rsid w:val="00952704"/>
    <w:rsid w:val="00952811"/>
    <w:rsid w:val="00953BC8"/>
    <w:rsid w:val="00955391"/>
    <w:rsid w:val="0095587B"/>
    <w:rsid w:val="0095651D"/>
    <w:rsid w:val="00956D31"/>
    <w:rsid w:val="00957F44"/>
    <w:rsid w:val="009604AB"/>
    <w:rsid w:val="0096135F"/>
    <w:rsid w:val="00961E3A"/>
    <w:rsid w:val="0096244C"/>
    <w:rsid w:val="009637DB"/>
    <w:rsid w:val="00964AB5"/>
    <w:rsid w:val="00964E66"/>
    <w:rsid w:val="00964F61"/>
    <w:rsid w:val="009652EA"/>
    <w:rsid w:val="0096541B"/>
    <w:rsid w:val="00965D2B"/>
    <w:rsid w:val="00966511"/>
    <w:rsid w:val="00966FC4"/>
    <w:rsid w:val="0096727E"/>
    <w:rsid w:val="009673E7"/>
    <w:rsid w:val="0097045A"/>
    <w:rsid w:val="00971150"/>
    <w:rsid w:val="009716C7"/>
    <w:rsid w:val="00972072"/>
    <w:rsid w:val="0097212A"/>
    <w:rsid w:val="00973053"/>
    <w:rsid w:val="00973640"/>
    <w:rsid w:val="00973821"/>
    <w:rsid w:val="00973871"/>
    <w:rsid w:val="00974E49"/>
    <w:rsid w:val="00974F3E"/>
    <w:rsid w:val="00975396"/>
    <w:rsid w:val="0097549F"/>
    <w:rsid w:val="00976281"/>
    <w:rsid w:val="009769FE"/>
    <w:rsid w:val="00976D0D"/>
    <w:rsid w:val="0097753A"/>
    <w:rsid w:val="00977545"/>
    <w:rsid w:val="009777DE"/>
    <w:rsid w:val="00977EC8"/>
    <w:rsid w:val="0098098F"/>
    <w:rsid w:val="00980B81"/>
    <w:rsid w:val="00980EA4"/>
    <w:rsid w:val="00982208"/>
    <w:rsid w:val="009841BE"/>
    <w:rsid w:val="0098467A"/>
    <w:rsid w:val="00985E9F"/>
    <w:rsid w:val="00986146"/>
    <w:rsid w:val="0098629F"/>
    <w:rsid w:val="00986FD1"/>
    <w:rsid w:val="00987DF1"/>
    <w:rsid w:val="00991595"/>
    <w:rsid w:val="00991668"/>
    <w:rsid w:val="009927C0"/>
    <w:rsid w:val="00992B4F"/>
    <w:rsid w:val="00993582"/>
    <w:rsid w:val="00994196"/>
    <w:rsid w:val="00995B23"/>
    <w:rsid w:val="00996781"/>
    <w:rsid w:val="009971F7"/>
    <w:rsid w:val="009A093E"/>
    <w:rsid w:val="009A0F93"/>
    <w:rsid w:val="009A143B"/>
    <w:rsid w:val="009A14AD"/>
    <w:rsid w:val="009A15FF"/>
    <w:rsid w:val="009A2866"/>
    <w:rsid w:val="009A3761"/>
    <w:rsid w:val="009A420E"/>
    <w:rsid w:val="009A544E"/>
    <w:rsid w:val="009A5689"/>
    <w:rsid w:val="009A66C7"/>
    <w:rsid w:val="009A750B"/>
    <w:rsid w:val="009B077E"/>
    <w:rsid w:val="009B07A7"/>
    <w:rsid w:val="009B3AF9"/>
    <w:rsid w:val="009B4098"/>
    <w:rsid w:val="009B409C"/>
    <w:rsid w:val="009B4AAF"/>
    <w:rsid w:val="009B4E09"/>
    <w:rsid w:val="009B6075"/>
    <w:rsid w:val="009B634F"/>
    <w:rsid w:val="009B6D28"/>
    <w:rsid w:val="009B7F7F"/>
    <w:rsid w:val="009C0143"/>
    <w:rsid w:val="009C041E"/>
    <w:rsid w:val="009C0B25"/>
    <w:rsid w:val="009C1133"/>
    <w:rsid w:val="009C1B98"/>
    <w:rsid w:val="009C1DFA"/>
    <w:rsid w:val="009C285A"/>
    <w:rsid w:val="009C2E2E"/>
    <w:rsid w:val="009C2E43"/>
    <w:rsid w:val="009C3357"/>
    <w:rsid w:val="009C401A"/>
    <w:rsid w:val="009C5A0A"/>
    <w:rsid w:val="009C623B"/>
    <w:rsid w:val="009C6501"/>
    <w:rsid w:val="009C6CE3"/>
    <w:rsid w:val="009C6F70"/>
    <w:rsid w:val="009C797A"/>
    <w:rsid w:val="009C7A47"/>
    <w:rsid w:val="009C7A5E"/>
    <w:rsid w:val="009D0886"/>
    <w:rsid w:val="009D0AB4"/>
    <w:rsid w:val="009D0BAB"/>
    <w:rsid w:val="009D0CD5"/>
    <w:rsid w:val="009D1CF0"/>
    <w:rsid w:val="009D1D93"/>
    <w:rsid w:val="009D20BC"/>
    <w:rsid w:val="009D2D5E"/>
    <w:rsid w:val="009D3834"/>
    <w:rsid w:val="009D49DC"/>
    <w:rsid w:val="009D5065"/>
    <w:rsid w:val="009D6235"/>
    <w:rsid w:val="009D6731"/>
    <w:rsid w:val="009D7ECA"/>
    <w:rsid w:val="009E1595"/>
    <w:rsid w:val="009E1A9F"/>
    <w:rsid w:val="009E5AA7"/>
    <w:rsid w:val="009E5AF8"/>
    <w:rsid w:val="009E5D75"/>
    <w:rsid w:val="009E61D0"/>
    <w:rsid w:val="009E6817"/>
    <w:rsid w:val="009E69F7"/>
    <w:rsid w:val="009E6C53"/>
    <w:rsid w:val="009E712C"/>
    <w:rsid w:val="009E72B4"/>
    <w:rsid w:val="009E736B"/>
    <w:rsid w:val="009E798E"/>
    <w:rsid w:val="009E7D05"/>
    <w:rsid w:val="009E7D0F"/>
    <w:rsid w:val="009F007B"/>
    <w:rsid w:val="009F0294"/>
    <w:rsid w:val="009F066C"/>
    <w:rsid w:val="009F0C8D"/>
    <w:rsid w:val="009F0DAA"/>
    <w:rsid w:val="009F24DF"/>
    <w:rsid w:val="009F2864"/>
    <w:rsid w:val="009F38D4"/>
    <w:rsid w:val="009F49F8"/>
    <w:rsid w:val="009F4D75"/>
    <w:rsid w:val="009F54CE"/>
    <w:rsid w:val="009F5E35"/>
    <w:rsid w:val="009F6DB2"/>
    <w:rsid w:val="009F7404"/>
    <w:rsid w:val="009F7D50"/>
    <w:rsid w:val="00A00437"/>
    <w:rsid w:val="00A004CB"/>
    <w:rsid w:val="00A0074B"/>
    <w:rsid w:val="00A0080C"/>
    <w:rsid w:val="00A03688"/>
    <w:rsid w:val="00A03DB3"/>
    <w:rsid w:val="00A04508"/>
    <w:rsid w:val="00A04D91"/>
    <w:rsid w:val="00A05FCC"/>
    <w:rsid w:val="00A060F2"/>
    <w:rsid w:val="00A06AFC"/>
    <w:rsid w:val="00A074C1"/>
    <w:rsid w:val="00A07D0A"/>
    <w:rsid w:val="00A11BEF"/>
    <w:rsid w:val="00A11E86"/>
    <w:rsid w:val="00A11F9E"/>
    <w:rsid w:val="00A11FDE"/>
    <w:rsid w:val="00A12245"/>
    <w:rsid w:val="00A124C6"/>
    <w:rsid w:val="00A12AEA"/>
    <w:rsid w:val="00A12EA3"/>
    <w:rsid w:val="00A12EEC"/>
    <w:rsid w:val="00A140D7"/>
    <w:rsid w:val="00A1527C"/>
    <w:rsid w:val="00A15564"/>
    <w:rsid w:val="00A155C8"/>
    <w:rsid w:val="00A17097"/>
    <w:rsid w:val="00A170A5"/>
    <w:rsid w:val="00A17842"/>
    <w:rsid w:val="00A17A54"/>
    <w:rsid w:val="00A17F95"/>
    <w:rsid w:val="00A205D9"/>
    <w:rsid w:val="00A21C63"/>
    <w:rsid w:val="00A229B6"/>
    <w:rsid w:val="00A23181"/>
    <w:rsid w:val="00A2360A"/>
    <w:rsid w:val="00A240AB"/>
    <w:rsid w:val="00A2451A"/>
    <w:rsid w:val="00A24828"/>
    <w:rsid w:val="00A24F6F"/>
    <w:rsid w:val="00A251EC"/>
    <w:rsid w:val="00A25A84"/>
    <w:rsid w:val="00A26923"/>
    <w:rsid w:val="00A26C71"/>
    <w:rsid w:val="00A27079"/>
    <w:rsid w:val="00A274C1"/>
    <w:rsid w:val="00A27E23"/>
    <w:rsid w:val="00A30621"/>
    <w:rsid w:val="00A30969"/>
    <w:rsid w:val="00A309FC"/>
    <w:rsid w:val="00A32279"/>
    <w:rsid w:val="00A322B3"/>
    <w:rsid w:val="00A32322"/>
    <w:rsid w:val="00A32AB6"/>
    <w:rsid w:val="00A33394"/>
    <w:rsid w:val="00A336D7"/>
    <w:rsid w:val="00A33F62"/>
    <w:rsid w:val="00A35BBE"/>
    <w:rsid w:val="00A35CA4"/>
    <w:rsid w:val="00A364D5"/>
    <w:rsid w:val="00A36BCF"/>
    <w:rsid w:val="00A37082"/>
    <w:rsid w:val="00A370B4"/>
    <w:rsid w:val="00A37222"/>
    <w:rsid w:val="00A37919"/>
    <w:rsid w:val="00A40048"/>
    <w:rsid w:val="00A40904"/>
    <w:rsid w:val="00A41850"/>
    <w:rsid w:val="00A41DA0"/>
    <w:rsid w:val="00A428FA"/>
    <w:rsid w:val="00A42C09"/>
    <w:rsid w:val="00A43283"/>
    <w:rsid w:val="00A43991"/>
    <w:rsid w:val="00A43B68"/>
    <w:rsid w:val="00A43CE4"/>
    <w:rsid w:val="00A46484"/>
    <w:rsid w:val="00A501C0"/>
    <w:rsid w:val="00A516CF"/>
    <w:rsid w:val="00A519B8"/>
    <w:rsid w:val="00A5215A"/>
    <w:rsid w:val="00A5234B"/>
    <w:rsid w:val="00A52500"/>
    <w:rsid w:val="00A52E59"/>
    <w:rsid w:val="00A54751"/>
    <w:rsid w:val="00A548D3"/>
    <w:rsid w:val="00A54AEF"/>
    <w:rsid w:val="00A55961"/>
    <w:rsid w:val="00A56027"/>
    <w:rsid w:val="00A56CA7"/>
    <w:rsid w:val="00A57990"/>
    <w:rsid w:val="00A610FF"/>
    <w:rsid w:val="00A6132F"/>
    <w:rsid w:val="00A61D7C"/>
    <w:rsid w:val="00A62FEE"/>
    <w:rsid w:val="00A63334"/>
    <w:rsid w:val="00A6481B"/>
    <w:rsid w:val="00A64921"/>
    <w:rsid w:val="00A65898"/>
    <w:rsid w:val="00A65A2B"/>
    <w:rsid w:val="00A66D3A"/>
    <w:rsid w:val="00A678EB"/>
    <w:rsid w:val="00A67B03"/>
    <w:rsid w:val="00A67B95"/>
    <w:rsid w:val="00A703F0"/>
    <w:rsid w:val="00A71914"/>
    <w:rsid w:val="00A71A01"/>
    <w:rsid w:val="00A71E8C"/>
    <w:rsid w:val="00A725A6"/>
    <w:rsid w:val="00A72D2B"/>
    <w:rsid w:val="00A72E1C"/>
    <w:rsid w:val="00A72FAC"/>
    <w:rsid w:val="00A7358A"/>
    <w:rsid w:val="00A748CE"/>
    <w:rsid w:val="00A74B72"/>
    <w:rsid w:val="00A74D0E"/>
    <w:rsid w:val="00A7640C"/>
    <w:rsid w:val="00A76C58"/>
    <w:rsid w:val="00A779F6"/>
    <w:rsid w:val="00A83138"/>
    <w:rsid w:val="00A831B6"/>
    <w:rsid w:val="00A83720"/>
    <w:rsid w:val="00A84E04"/>
    <w:rsid w:val="00A86670"/>
    <w:rsid w:val="00A86A11"/>
    <w:rsid w:val="00A86C90"/>
    <w:rsid w:val="00A86DD7"/>
    <w:rsid w:val="00A8723A"/>
    <w:rsid w:val="00A8744E"/>
    <w:rsid w:val="00A87579"/>
    <w:rsid w:val="00A90398"/>
    <w:rsid w:val="00A93997"/>
    <w:rsid w:val="00A93F8E"/>
    <w:rsid w:val="00A94206"/>
    <w:rsid w:val="00A942BD"/>
    <w:rsid w:val="00A96BC7"/>
    <w:rsid w:val="00A972C4"/>
    <w:rsid w:val="00A978AA"/>
    <w:rsid w:val="00A979E2"/>
    <w:rsid w:val="00AA02A3"/>
    <w:rsid w:val="00AA20D1"/>
    <w:rsid w:val="00AA21B0"/>
    <w:rsid w:val="00AA2592"/>
    <w:rsid w:val="00AA25C2"/>
    <w:rsid w:val="00AA35F7"/>
    <w:rsid w:val="00AA46C3"/>
    <w:rsid w:val="00AA573A"/>
    <w:rsid w:val="00AA5C55"/>
    <w:rsid w:val="00AA610D"/>
    <w:rsid w:val="00AA6110"/>
    <w:rsid w:val="00AA7382"/>
    <w:rsid w:val="00AA7825"/>
    <w:rsid w:val="00AB037F"/>
    <w:rsid w:val="00AB20D4"/>
    <w:rsid w:val="00AB3F80"/>
    <w:rsid w:val="00AB4068"/>
    <w:rsid w:val="00AB44E4"/>
    <w:rsid w:val="00AB45A3"/>
    <w:rsid w:val="00AB4BB5"/>
    <w:rsid w:val="00AB4D49"/>
    <w:rsid w:val="00AB6700"/>
    <w:rsid w:val="00AB6A28"/>
    <w:rsid w:val="00AB6B7D"/>
    <w:rsid w:val="00AC0BAA"/>
    <w:rsid w:val="00AC0D78"/>
    <w:rsid w:val="00AC362B"/>
    <w:rsid w:val="00AC42CC"/>
    <w:rsid w:val="00AC5FC9"/>
    <w:rsid w:val="00AC6204"/>
    <w:rsid w:val="00AC651E"/>
    <w:rsid w:val="00AC6709"/>
    <w:rsid w:val="00AC6DAA"/>
    <w:rsid w:val="00AC6E2E"/>
    <w:rsid w:val="00AC7191"/>
    <w:rsid w:val="00AC7944"/>
    <w:rsid w:val="00AD0098"/>
    <w:rsid w:val="00AD0510"/>
    <w:rsid w:val="00AD0E0E"/>
    <w:rsid w:val="00AD1558"/>
    <w:rsid w:val="00AD19E7"/>
    <w:rsid w:val="00AD20C2"/>
    <w:rsid w:val="00AD22B7"/>
    <w:rsid w:val="00AD2833"/>
    <w:rsid w:val="00AD3710"/>
    <w:rsid w:val="00AD3C38"/>
    <w:rsid w:val="00AD4494"/>
    <w:rsid w:val="00AD4BBD"/>
    <w:rsid w:val="00AD505D"/>
    <w:rsid w:val="00AD6591"/>
    <w:rsid w:val="00AD6698"/>
    <w:rsid w:val="00AD66F1"/>
    <w:rsid w:val="00AD6D35"/>
    <w:rsid w:val="00AD7E8C"/>
    <w:rsid w:val="00AE01CA"/>
    <w:rsid w:val="00AE0A3C"/>
    <w:rsid w:val="00AE0F27"/>
    <w:rsid w:val="00AE10C8"/>
    <w:rsid w:val="00AE1749"/>
    <w:rsid w:val="00AE1752"/>
    <w:rsid w:val="00AE183C"/>
    <w:rsid w:val="00AE1DF0"/>
    <w:rsid w:val="00AE271E"/>
    <w:rsid w:val="00AE2BF8"/>
    <w:rsid w:val="00AE33FE"/>
    <w:rsid w:val="00AE4B0F"/>
    <w:rsid w:val="00AE5AED"/>
    <w:rsid w:val="00AE5B38"/>
    <w:rsid w:val="00AE6572"/>
    <w:rsid w:val="00AE7BDB"/>
    <w:rsid w:val="00AF0748"/>
    <w:rsid w:val="00AF1EA8"/>
    <w:rsid w:val="00AF4059"/>
    <w:rsid w:val="00AF429A"/>
    <w:rsid w:val="00AF455A"/>
    <w:rsid w:val="00AF7B3A"/>
    <w:rsid w:val="00AF7FED"/>
    <w:rsid w:val="00B00FDD"/>
    <w:rsid w:val="00B02360"/>
    <w:rsid w:val="00B03A4E"/>
    <w:rsid w:val="00B04F06"/>
    <w:rsid w:val="00B05D3C"/>
    <w:rsid w:val="00B05D42"/>
    <w:rsid w:val="00B0606B"/>
    <w:rsid w:val="00B0762D"/>
    <w:rsid w:val="00B07BCB"/>
    <w:rsid w:val="00B13084"/>
    <w:rsid w:val="00B13728"/>
    <w:rsid w:val="00B138E1"/>
    <w:rsid w:val="00B14A85"/>
    <w:rsid w:val="00B14BE3"/>
    <w:rsid w:val="00B16C65"/>
    <w:rsid w:val="00B171A4"/>
    <w:rsid w:val="00B17A97"/>
    <w:rsid w:val="00B21911"/>
    <w:rsid w:val="00B21A16"/>
    <w:rsid w:val="00B222A5"/>
    <w:rsid w:val="00B22A24"/>
    <w:rsid w:val="00B22F4C"/>
    <w:rsid w:val="00B235B5"/>
    <w:rsid w:val="00B23FC1"/>
    <w:rsid w:val="00B243B0"/>
    <w:rsid w:val="00B24473"/>
    <w:rsid w:val="00B24658"/>
    <w:rsid w:val="00B25884"/>
    <w:rsid w:val="00B2616D"/>
    <w:rsid w:val="00B262E9"/>
    <w:rsid w:val="00B26BB6"/>
    <w:rsid w:val="00B30B8D"/>
    <w:rsid w:val="00B30E3C"/>
    <w:rsid w:val="00B313CA"/>
    <w:rsid w:val="00B31574"/>
    <w:rsid w:val="00B31AE2"/>
    <w:rsid w:val="00B31F47"/>
    <w:rsid w:val="00B3211C"/>
    <w:rsid w:val="00B323C3"/>
    <w:rsid w:val="00B32857"/>
    <w:rsid w:val="00B328D3"/>
    <w:rsid w:val="00B3319B"/>
    <w:rsid w:val="00B333CE"/>
    <w:rsid w:val="00B34B5A"/>
    <w:rsid w:val="00B35BB3"/>
    <w:rsid w:val="00B3614D"/>
    <w:rsid w:val="00B363DA"/>
    <w:rsid w:val="00B36DBA"/>
    <w:rsid w:val="00B36EB3"/>
    <w:rsid w:val="00B379DF"/>
    <w:rsid w:val="00B37E3A"/>
    <w:rsid w:val="00B37FA7"/>
    <w:rsid w:val="00B41E02"/>
    <w:rsid w:val="00B41EE9"/>
    <w:rsid w:val="00B42905"/>
    <w:rsid w:val="00B42D0C"/>
    <w:rsid w:val="00B43AF6"/>
    <w:rsid w:val="00B43D1E"/>
    <w:rsid w:val="00B446F7"/>
    <w:rsid w:val="00B4555D"/>
    <w:rsid w:val="00B46B62"/>
    <w:rsid w:val="00B46F2F"/>
    <w:rsid w:val="00B471E3"/>
    <w:rsid w:val="00B518B8"/>
    <w:rsid w:val="00B51D19"/>
    <w:rsid w:val="00B53E53"/>
    <w:rsid w:val="00B55DED"/>
    <w:rsid w:val="00B55E20"/>
    <w:rsid w:val="00B569FE"/>
    <w:rsid w:val="00B57D98"/>
    <w:rsid w:val="00B57FB5"/>
    <w:rsid w:val="00B617D5"/>
    <w:rsid w:val="00B61C58"/>
    <w:rsid w:val="00B61D65"/>
    <w:rsid w:val="00B6256F"/>
    <w:rsid w:val="00B62D40"/>
    <w:rsid w:val="00B6490A"/>
    <w:rsid w:val="00B64A47"/>
    <w:rsid w:val="00B652DC"/>
    <w:rsid w:val="00B65807"/>
    <w:rsid w:val="00B65C6A"/>
    <w:rsid w:val="00B66138"/>
    <w:rsid w:val="00B6625D"/>
    <w:rsid w:val="00B662B6"/>
    <w:rsid w:val="00B66923"/>
    <w:rsid w:val="00B70A69"/>
    <w:rsid w:val="00B71447"/>
    <w:rsid w:val="00B73613"/>
    <w:rsid w:val="00B7445D"/>
    <w:rsid w:val="00B7502D"/>
    <w:rsid w:val="00B750F8"/>
    <w:rsid w:val="00B761A1"/>
    <w:rsid w:val="00B76CF7"/>
    <w:rsid w:val="00B807FA"/>
    <w:rsid w:val="00B80F4A"/>
    <w:rsid w:val="00B81B0E"/>
    <w:rsid w:val="00B81C0B"/>
    <w:rsid w:val="00B81F7A"/>
    <w:rsid w:val="00B825DF"/>
    <w:rsid w:val="00B82ECF"/>
    <w:rsid w:val="00B83234"/>
    <w:rsid w:val="00B832AB"/>
    <w:rsid w:val="00B83BA2"/>
    <w:rsid w:val="00B83D59"/>
    <w:rsid w:val="00B84366"/>
    <w:rsid w:val="00B84474"/>
    <w:rsid w:val="00B84C87"/>
    <w:rsid w:val="00B8509C"/>
    <w:rsid w:val="00B85E2F"/>
    <w:rsid w:val="00B87ECC"/>
    <w:rsid w:val="00B90B4A"/>
    <w:rsid w:val="00B91127"/>
    <w:rsid w:val="00B927FC"/>
    <w:rsid w:val="00B93535"/>
    <w:rsid w:val="00B937DA"/>
    <w:rsid w:val="00B94141"/>
    <w:rsid w:val="00B942C6"/>
    <w:rsid w:val="00B9445A"/>
    <w:rsid w:val="00B94B82"/>
    <w:rsid w:val="00B9548F"/>
    <w:rsid w:val="00B95918"/>
    <w:rsid w:val="00B95C24"/>
    <w:rsid w:val="00B95E18"/>
    <w:rsid w:val="00B9610D"/>
    <w:rsid w:val="00B963D7"/>
    <w:rsid w:val="00B9641B"/>
    <w:rsid w:val="00B965F4"/>
    <w:rsid w:val="00B96AF6"/>
    <w:rsid w:val="00B96CE1"/>
    <w:rsid w:val="00B977F8"/>
    <w:rsid w:val="00B97C86"/>
    <w:rsid w:val="00B97DD5"/>
    <w:rsid w:val="00BA01CC"/>
    <w:rsid w:val="00BA03DC"/>
    <w:rsid w:val="00BA0719"/>
    <w:rsid w:val="00BA0C6E"/>
    <w:rsid w:val="00BA1AE8"/>
    <w:rsid w:val="00BA1E74"/>
    <w:rsid w:val="00BA2FAC"/>
    <w:rsid w:val="00BA3A5D"/>
    <w:rsid w:val="00BA6783"/>
    <w:rsid w:val="00BA6D32"/>
    <w:rsid w:val="00BB021B"/>
    <w:rsid w:val="00BB04D0"/>
    <w:rsid w:val="00BB1754"/>
    <w:rsid w:val="00BB22A2"/>
    <w:rsid w:val="00BB31D9"/>
    <w:rsid w:val="00BB44F6"/>
    <w:rsid w:val="00BB5473"/>
    <w:rsid w:val="00BB59A4"/>
    <w:rsid w:val="00BB5E5A"/>
    <w:rsid w:val="00BC0F55"/>
    <w:rsid w:val="00BC19EF"/>
    <w:rsid w:val="00BC2AFE"/>
    <w:rsid w:val="00BC3148"/>
    <w:rsid w:val="00BC3884"/>
    <w:rsid w:val="00BC3CF7"/>
    <w:rsid w:val="00BC42BE"/>
    <w:rsid w:val="00BC47A0"/>
    <w:rsid w:val="00BC486C"/>
    <w:rsid w:val="00BC5437"/>
    <w:rsid w:val="00BC764F"/>
    <w:rsid w:val="00BC767B"/>
    <w:rsid w:val="00BD0E55"/>
    <w:rsid w:val="00BD22EF"/>
    <w:rsid w:val="00BD35ED"/>
    <w:rsid w:val="00BD392C"/>
    <w:rsid w:val="00BD3B2E"/>
    <w:rsid w:val="00BD4550"/>
    <w:rsid w:val="00BD5437"/>
    <w:rsid w:val="00BD587E"/>
    <w:rsid w:val="00BD5A06"/>
    <w:rsid w:val="00BD7035"/>
    <w:rsid w:val="00BD71C7"/>
    <w:rsid w:val="00BD7AD2"/>
    <w:rsid w:val="00BE0897"/>
    <w:rsid w:val="00BE13C7"/>
    <w:rsid w:val="00BE1DB8"/>
    <w:rsid w:val="00BE233E"/>
    <w:rsid w:val="00BE264F"/>
    <w:rsid w:val="00BE26AD"/>
    <w:rsid w:val="00BE29BB"/>
    <w:rsid w:val="00BE3AB5"/>
    <w:rsid w:val="00BE4163"/>
    <w:rsid w:val="00BE4201"/>
    <w:rsid w:val="00BE46FE"/>
    <w:rsid w:val="00BE4D5C"/>
    <w:rsid w:val="00BE5013"/>
    <w:rsid w:val="00BE51F2"/>
    <w:rsid w:val="00BE56DB"/>
    <w:rsid w:val="00BE63D9"/>
    <w:rsid w:val="00BE65E0"/>
    <w:rsid w:val="00BF0496"/>
    <w:rsid w:val="00BF0B50"/>
    <w:rsid w:val="00BF0BBB"/>
    <w:rsid w:val="00BF1122"/>
    <w:rsid w:val="00BF1136"/>
    <w:rsid w:val="00BF1B05"/>
    <w:rsid w:val="00BF1EF5"/>
    <w:rsid w:val="00BF1F7E"/>
    <w:rsid w:val="00BF2BF8"/>
    <w:rsid w:val="00BF2C97"/>
    <w:rsid w:val="00BF30B7"/>
    <w:rsid w:val="00BF3854"/>
    <w:rsid w:val="00BF3AC4"/>
    <w:rsid w:val="00BF3DB9"/>
    <w:rsid w:val="00BF3FDD"/>
    <w:rsid w:val="00BF5790"/>
    <w:rsid w:val="00BF5B73"/>
    <w:rsid w:val="00C00FA1"/>
    <w:rsid w:val="00C012ED"/>
    <w:rsid w:val="00C02C1E"/>
    <w:rsid w:val="00C0347A"/>
    <w:rsid w:val="00C047CA"/>
    <w:rsid w:val="00C061D2"/>
    <w:rsid w:val="00C0665D"/>
    <w:rsid w:val="00C105A6"/>
    <w:rsid w:val="00C108D3"/>
    <w:rsid w:val="00C10A07"/>
    <w:rsid w:val="00C10AB2"/>
    <w:rsid w:val="00C11011"/>
    <w:rsid w:val="00C11DDC"/>
    <w:rsid w:val="00C120E9"/>
    <w:rsid w:val="00C12963"/>
    <w:rsid w:val="00C13AD9"/>
    <w:rsid w:val="00C14CEF"/>
    <w:rsid w:val="00C157C0"/>
    <w:rsid w:val="00C1581D"/>
    <w:rsid w:val="00C158A9"/>
    <w:rsid w:val="00C1711C"/>
    <w:rsid w:val="00C17FD0"/>
    <w:rsid w:val="00C20A5F"/>
    <w:rsid w:val="00C21A7F"/>
    <w:rsid w:val="00C22A39"/>
    <w:rsid w:val="00C23C98"/>
    <w:rsid w:val="00C23E56"/>
    <w:rsid w:val="00C241A9"/>
    <w:rsid w:val="00C24544"/>
    <w:rsid w:val="00C24E45"/>
    <w:rsid w:val="00C24EAE"/>
    <w:rsid w:val="00C2504C"/>
    <w:rsid w:val="00C250DA"/>
    <w:rsid w:val="00C25C9E"/>
    <w:rsid w:val="00C261B5"/>
    <w:rsid w:val="00C265EE"/>
    <w:rsid w:val="00C271F3"/>
    <w:rsid w:val="00C27D9B"/>
    <w:rsid w:val="00C30386"/>
    <w:rsid w:val="00C30ACA"/>
    <w:rsid w:val="00C3163B"/>
    <w:rsid w:val="00C31DBF"/>
    <w:rsid w:val="00C31E30"/>
    <w:rsid w:val="00C31FDE"/>
    <w:rsid w:val="00C32EB0"/>
    <w:rsid w:val="00C33611"/>
    <w:rsid w:val="00C34832"/>
    <w:rsid w:val="00C34E04"/>
    <w:rsid w:val="00C35180"/>
    <w:rsid w:val="00C35BE1"/>
    <w:rsid w:val="00C35C65"/>
    <w:rsid w:val="00C36096"/>
    <w:rsid w:val="00C369D0"/>
    <w:rsid w:val="00C379C5"/>
    <w:rsid w:val="00C40208"/>
    <w:rsid w:val="00C40686"/>
    <w:rsid w:val="00C40A93"/>
    <w:rsid w:val="00C40BDC"/>
    <w:rsid w:val="00C412BD"/>
    <w:rsid w:val="00C43285"/>
    <w:rsid w:val="00C432BA"/>
    <w:rsid w:val="00C43C24"/>
    <w:rsid w:val="00C44675"/>
    <w:rsid w:val="00C45009"/>
    <w:rsid w:val="00C45036"/>
    <w:rsid w:val="00C453E6"/>
    <w:rsid w:val="00C4591C"/>
    <w:rsid w:val="00C459B8"/>
    <w:rsid w:val="00C45A8A"/>
    <w:rsid w:val="00C463B3"/>
    <w:rsid w:val="00C47E83"/>
    <w:rsid w:val="00C51A62"/>
    <w:rsid w:val="00C51A75"/>
    <w:rsid w:val="00C51AE8"/>
    <w:rsid w:val="00C51BA4"/>
    <w:rsid w:val="00C51E71"/>
    <w:rsid w:val="00C52E06"/>
    <w:rsid w:val="00C5326B"/>
    <w:rsid w:val="00C57620"/>
    <w:rsid w:val="00C57C8F"/>
    <w:rsid w:val="00C57F23"/>
    <w:rsid w:val="00C618EA"/>
    <w:rsid w:val="00C61C88"/>
    <w:rsid w:val="00C63FA0"/>
    <w:rsid w:val="00C64922"/>
    <w:rsid w:val="00C654DF"/>
    <w:rsid w:val="00C661C0"/>
    <w:rsid w:val="00C6691E"/>
    <w:rsid w:val="00C670AD"/>
    <w:rsid w:val="00C704A2"/>
    <w:rsid w:val="00C7055B"/>
    <w:rsid w:val="00C70A5D"/>
    <w:rsid w:val="00C70CFC"/>
    <w:rsid w:val="00C7104E"/>
    <w:rsid w:val="00C717E5"/>
    <w:rsid w:val="00C71CF6"/>
    <w:rsid w:val="00C72702"/>
    <w:rsid w:val="00C72CBC"/>
    <w:rsid w:val="00C7359E"/>
    <w:rsid w:val="00C73D91"/>
    <w:rsid w:val="00C7417E"/>
    <w:rsid w:val="00C745D3"/>
    <w:rsid w:val="00C74C88"/>
    <w:rsid w:val="00C74D20"/>
    <w:rsid w:val="00C75641"/>
    <w:rsid w:val="00C75A87"/>
    <w:rsid w:val="00C75AB2"/>
    <w:rsid w:val="00C76059"/>
    <w:rsid w:val="00C80295"/>
    <w:rsid w:val="00C81240"/>
    <w:rsid w:val="00C81D61"/>
    <w:rsid w:val="00C82059"/>
    <w:rsid w:val="00C8230A"/>
    <w:rsid w:val="00C826AB"/>
    <w:rsid w:val="00C82F3E"/>
    <w:rsid w:val="00C82F7A"/>
    <w:rsid w:val="00C8483A"/>
    <w:rsid w:val="00C851D1"/>
    <w:rsid w:val="00C85F5F"/>
    <w:rsid w:val="00C865C3"/>
    <w:rsid w:val="00C86AA3"/>
    <w:rsid w:val="00C87422"/>
    <w:rsid w:val="00C87430"/>
    <w:rsid w:val="00C87E97"/>
    <w:rsid w:val="00C9081B"/>
    <w:rsid w:val="00C91501"/>
    <w:rsid w:val="00C91F84"/>
    <w:rsid w:val="00C9422A"/>
    <w:rsid w:val="00C9432A"/>
    <w:rsid w:val="00C94848"/>
    <w:rsid w:val="00C9517A"/>
    <w:rsid w:val="00C95511"/>
    <w:rsid w:val="00C95EB5"/>
    <w:rsid w:val="00C9614D"/>
    <w:rsid w:val="00C96A9F"/>
    <w:rsid w:val="00C97F23"/>
    <w:rsid w:val="00CA0704"/>
    <w:rsid w:val="00CA25B7"/>
    <w:rsid w:val="00CA2719"/>
    <w:rsid w:val="00CA2816"/>
    <w:rsid w:val="00CA2FBA"/>
    <w:rsid w:val="00CA3376"/>
    <w:rsid w:val="00CA4130"/>
    <w:rsid w:val="00CA4592"/>
    <w:rsid w:val="00CA754A"/>
    <w:rsid w:val="00CB0592"/>
    <w:rsid w:val="00CB0F18"/>
    <w:rsid w:val="00CB1A42"/>
    <w:rsid w:val="00CB23DB"/>
    <w:rsid w:val="00CB26D9"/>
    <w:rsid w:val="00CB2775"/>
    <w:rsid w:val="00CB397B"/>
    <w:rsid w:val="00CB5191"/>
    <w:rsid w:val="00CB5D03"/>
    <w:rsid w:val="00CB5DE6"/>
    <w:rsid w:val="00CB608F"/>
    <w:rsid w:val="00CB612C"/>
    <w:rsid w:val="00CB6994"/>
    <w:rsid w:val="00CB69D4"/>
    <w:rsid w:val="00CB70E2"/>
    <w:rsid w:val="00CC0026"/>
    <w:rsid w:val="00CC0682"/>
    <w:rsid w:val="00CC0723"/>
    <w:rsid w:val="00CC088B"/>
    <w:rsid w:val="00CC134F"/>
    <w:rsid w:val="00CC32B7"/>
    <w:rsid w:val="00CC37B7"/>
    <w:rsid w:val="00CC44D4"/>
    <w:rsid w:val="00CC48B8"/>
    <w:rsid w:val="00CC5DFC"/>
    <w:rsid w:val="00CC6198"/>
    <w:rsid w:val="00CC6776"/>
    <w:rsid w:val="00CC6F26"/>
    <w:rsid w:val="00CC70DD"/>
    <w:rsid w:val="00CD059F"/>
    <w:rsid w:val="00CD1473"/>
    <w:rsid w:val="00CD17D6"/>
    <w:rsid w:val="00CD1CA7"/>
    <w:rsid w:val="00CD2A3C"/>
    <w:rsid w:val="00CD398C"/>
    <w:rsid w:val="00CD3DBC"/>
    <w:rsid w:val="00CD5B64"/>
    <w:rsid w:val="00CD65C1"/>
    <w:rsid w:val="00CD6CDC"/>
    <w:rsid w:val="00CD70F7"/>
    <w:rsid w:val="00CD7910"/>
    <w:rsid w:val="00CE035D"/>
    <w:rsid w:val="00CE04DC"/>
    <w:rsid w:val="00CE06EA"/>
    <w:rsid w:val="00CE0EA7"/>
    <w:rsid w:val="00CE1ED1"/>
    <w:rsid w:val="00CE2C98"/>
    <w:rsid w:val="00CE33BC"/>
    <w:rsid w:val="00CE34E7"/>
    <w:rsid w:val="00CE3AFE"/>
    <w:rsid w:val="00CE47DF"/>
    <w:rsid w:val="00CE4E03"/>
    <w:rsid w:val="00CE4F4C"/>
    <w:rsid w:val="00CE50F0"/>
    <w:rsid w:val="00CE62BA"/>
    <w:rsid w:val="00CE7B65"/>
    <w:rsid w:val="00CF0E22"/>
    <w:rsid w:val="00CF18B3"/>
    <w:rsid w:val="00CF1A75"/>
    <w:rsid w:val="00CF1B8C"/>
    <w:rsid w:val="00CF2D73"/>
    <w:rsid w:val="00CF2E67"/>
    <w:rsid w:val="00CF2F63"/>
    <w:rsid w:val="00CF38C9"/>
    <w:rsid w:val="00CF39D1"/>
    <w:rsid w:val="00CF44DC"/>
    <w:rsid w:val="00CF5CC4"/>
    <w:rsid w:val="00CF5CCC"/>
    <w:rsid w:val="00CF6AF8"/>
    <w:rsid w:val="00CF6F6F"/>
    <w:rsid w:val="00D00402"/>
    <w:rsid w:val="00D004E5"/>
    <w:rsid w:val="00D004F4"/>
    <w:rsid w:val="00D00676"/>
    <w:rsid w:val="00D008CB"/>
    <w:rsid w:val="00D00FAF"/>
    <w:rsid w:val="00D01822"/>
    <w:rsid w:val="00D01FE7"/>
    <w:rsid w:val="00D0265E"/>
    <w:rsid w:val="00D026E9"/>
    <w:rsid w:val="00D02DD1"/>
    <w:rsid w:val="00D03302"/>
    <w:rsid w:val="00D03F26"/>
    <w:rsid w:val="00D04A75"/>
    <w:rsid w:val="00D05567"/>
    <w:rsid w:val="00D061EE"/>
    <w:rsid w:val="00D06541"/>
    <w:rsid w:val="00D06A61"/>
    <w:rsid w:val="00D06CFA"/>
    <w:rsid w:val="00D07722"/>
    <w:rsid w:val="00D07CC1"/>
    <w:rsid w:val="00D10164"/>
    <w:rsid w:val="00D11059"/>
    <w:rsid w:val="00D1158F"/>
    <w:rsid w:val="00D11893"/>
    <w:rsid w:val="00D12098"/>
    <w:rsid w:val="00D123D8"/>
    <w:rsid w:val="00D12978"/>
    <w:rsid w:val="00D13D91"/>
    <w:rsid w:val="00D15B53"/>
    <w:rsid w:val="00D1667A"/>
    <w:rsid w:val="00D17221"/>
    <w:rsid w:val="00D207D4"/>
    <w:rsid w:val="00D21442"/>
    <w:rsid w:val="00D214B5"/>
    <w:rsid w:val="00D24021"/>
    <w:rsid w:val="00D25741"/>
    <w:rsid w:val="00D26C12"/>
    <w:rsid w:val="00D26F59"/>
    <w:rsid w:val="00D2717F"/>
    <w:rsid w:val="00D27BB6"/>
    <w:rsid w:val="00D308B1"/>
    <w:rsid w:val="00D30CCA"/>
    <w:rsid w:val="00D30ECC"/>
    <w:rsid w:val="00D31C38"/>
    <w:rsid w:val="00D31F91"/>
    <w:rsid w:val="00D32ECE"/>
    <w:rsid w:val="00D375A7"/>
    <w:rsid w:val="00D40B7B"/>
    <w:rsid w:val="00D40B87"/>
    <w:rsid w:val="00D40C2E"/>
    <w:rsid w:val="00D40FD8"/>
    <w:rsid w:val="00D4115B"/>
    <w:rsid w:val="00D414E5"/>
    <w:rsid w:val="00D41ADB"/>
    <w:rsid w:val="00D43737"/>
    <w:rsid w:val="00D445C8"/>
    <w:rsid w:val="00D447DD"/>
    <w:rsid w:val="00D447ED"/>
    <w:rsid w:val="00D45445"/>
    <w:rsid w:val="00D45639"/>
    <w:rsid w:val="00D45B61"/>
    <w:rsid w:val="00D4643B"/>
    <w:rsid w:val="00D46603"/>
    <w:rsid w:val="00D4679A"/>
    <w:rsid w:val="00D468F5"/>
    <w:rsid w:val="00D469E6"/>
    <w:rsid w:val="00D46BC6"/>
    <w:rsid w:val="00D46F23"/>
    <w:rsid w:val="00D478C1"/>
    <w:rsid w:val="00D47E0B"/>
    <w:rsid w:val="00D47F9F"/>
    <w:rsid w:val="00D5065B"/>
    <w:rsid w:val="00D511F9"/>
    <w:rsid w:val="00D51458"/>
    <w:rsid w:val="00D5151A"/>
    <w:rsid w:val="00D5166C"/>
    <w:rsid w:val="00D52612"/>
    <w:rsid w:val="00D529F5"/>
    <w:rsid w:val="00D53874"/>
    <w:rsid w:val="00D539CF"/>
    <w:rsid w:val="00D53D20"/>
    <w:rsid w:val="00D54293"/>
    <w:rsid w:val="00D544A1"/>
    <w:rsid w:val="00D54E71"/>
    <w:rsid w:val="00D55010"/>
    <w:rsid w:val="00D56212"/>
    <w:rsid w:val="00D5637C"/>
    <w:rsid w:val="00D5689B"/>
    <w:rsid w:val="00D5752C"/>
    <w:rsid w:val="00D577AD"/>
    <w:rsid w:val="00D60DC3"/>
    <w:rsid w:val="00D61ACC"/>
    <w:rsid w:val="00D61F8A"/>
    <w:rsid w:val="00D6299B"/>
    <w:rsid w:val="00D63539"/>
    <w:rsid w:val="00D63812"/>
    <w:rsid w:val="00D63BD2"/>
    <w:rsid w:val="00D6622C"/>
    <w:rsid w:val="00D6630E"/>
    <w:rsid w:val="00D664A6"/>
    <w:rsid w:val="00D67388"/>
    <w:rsid w:val="00D705A7"/>
    <w:rsid w:val="00D71D14"/>
    <w:rsid w:val="00D72395"/>
    <w:rsid w:val="00D7321B"/>
    <w:rsid w:val="00D73560"/>
    <w:rsid w:val="00D73783"/>
    <w:rsid w:val="00D739D9"/>
    <w:rsid w:val="00D74F40"/>
    <w:rsid w:val="00D75081"/>
    <w:rsid w:val="00D7532D"/>
    <w:rsid w:val="00D76215"/>
    <w:rsid w:val="00D7669F"/>
    <w:rsid w:val="00D77022"/>
    <w:rsid w:val="00D77428"/>
    <w:rsid w:val="00D80A0C"/>
    <w:rsid w:val="00D81FF2"/>
    <w:rsid w:val="00D8289A"/>
    <w:rsid w:val="00D83ACB"/>
    <w:rsid w:val="00D8400F"/>
    <w:rsid w:val="00D86B44"/>
    <w:rsid w:val="00D8706D"/>
    <w:rsid w:val="00D877AE"/>
    <w:rsid w:val="00D87D19"/>
    <w:rsid w:val="00D87F4F"/>
    <w:rsid w:val="00D90EDE"/>
    <w:rsid w:val="00D90FB9"/>
    <w:rsid w:val="00D92E59"/>
    <w:rsid w:val="00D94579"/>
    <w:rsid w:val="00D949B5"/>
    <w:rsid w:val="00D95FF7"/>
    <w:rsid w:val="00D9648C"/>
    <w:rsid w:val="00D9794A"/>
    <w:rsid w:val="00DA086B"/>
    <w:rsid w:val="00DA08BE"/>
    <w:rsid w:val="00DA0AA0"/>
    <w:rsid w:val="00DA1488"/>
    <w:rsid w:val="00DA20EB"/>
    <w:rsid w:val="00DA341D"/>
    <w:rsid w:val="00DA45D3"/>
    <w:rsid w:val="00DA4666"/>
    <w:rsid w:val="00DA5F5D"/>
    <w:rsid w:val="00DA6660"/>
    <w:rsid w:val="00DA75EF"/>
    <w:rsid w:val="00DB08BB"/>
    <w:rsid w:val="00DB1027"/>
    <w:rsid w:val="00DB1826"/>
    <w:rsid w:val="00DB1AF1"/>
    <w:rsid w:val="00DB1D7A"/>
    <w:rsid w:val="00DB2A03"/>
    <w:rsid w:val="00DB2A62"/>
    <w:rsid w:val="00DB2EFF"/>
    <w:rsid w:val="00DB38B4"/>
    <w:rsid w:val="00DB3B0E"/>
    <w:rsid w:val="00DB4AC4"/>
    <w:rsid w:val="00DB55DF"/>
    <w:rsid w:val="00DB5762"/>
    <w:rsid w:val="00DB5769"/>
    <w:rsid w:val="00DB66BD"/>
    <w:rsid w:val="00DB677C"/>
    <w:rsid w:val="00DB7706"/>
    <w:rsid w:val="00DB7DC6"/>
    <w:rsid w:val="00DC01A3"/>
    <w:rsid w:val="00DC137A"/>
    <w:rsid w:val="00DC1A5E"/>
    <w:rsid w:val="00DC2763"/>
    <w:rsid w:val="00DC2CB1"/>
    <w:rsid w:val="00DC2E86"/>
    <w:rsid w:val="00DC2F1D"/>
    <w:rsid w:val="00DC309F"/>
    <w:rsid w:val="00DC4F41"/>
    <w:rsid w:val="00DC52DC"/>
    <w:rsid w:val="00DC5891"/>
    <w:rsid w:val="00DC5C81"/>
    <w:rsid w:val="00DC7DA3"/>
    <w:rsid w:val="00DD0149"/>
    <w:rsid w:val="00DD0E43"/>
    <w:rsid w:val="00DD230A"/>
    <w:rsid w:val="00DD2A97"/>
    <w:rsid w:val="00DD3D23"/>
    <w:rsid w:val="00DD4210"/>
    <w:rsid w:val="00DD4905"/>
    <w:rsid w:val="00DD54A1"/>
    <w:rsid w:val="00DD592A"/>
    <w:rsid w:val="00DD6FDA"/>
    <w:rsid w:val="00DD7D31"/>
    <w:rsid w:val="00DE049E"/>
    <w:rsid w:val="00DE09D3"/>
    <w:rsid w:val="00DE0C57"/>
    <w:rsid w:val="00DE0E10"/>
    <w:rsid w:val="00DE0FCE"/>
    <w:rsid w:val="00DE1374"/>
    <w:rsid w:val="00DE13BA"/>
    <w:rsid w:val="00DE1B71"/>
    <w:rsid w:val="00DE246F"/>
    <w:rsid w:val="00DE2F76"/>
    <w:rsid w:val="00DE3935"/>
    <w:rsid w:val="00DE3A11"/>
    <w:rsid w:val="00DE3C60"/>
    <w:rsid w:val="00DE49B3"/>
    <w:rsid w:val="00DE5E07"/>
    <w:rsid w:val="00DE6052"/>
    <w:rsid w:val="00DE6A1B"/>
    <w:rsid w:val="00DE70AF"/>
    <w:rsid w:val="00DE754B"/>
    <w:rsid w:val="00DE7917"/>
    <w:rsid w:val="00DE7B97"/>
    <w:rsid w:val="00DF0265"/>
    <w:rsid w:val="00DF0724"/>
    <w:rsid w:val="00DF16DB"/>
    <w:rsid w:val="00DF260D"/>
    <w:rsid w:val="00DF355D"/>
    <w:rsid w:val="00DF3997"/>
    <w:rsid w:val="00DF3B49"/>
    <w:rsid w:val="00DF3E85"/>
    <w:rsid w:val="00DF3F1F"/>
    <w:rsid w:val="00DF4258"/>
    <w:rsid w:val="00DF433D"/>
    <w:rsid w:val="00DF4BB3"/>
    <w:rsid w:val="00DF5575"/>
    <w:rsid w:val="00DF6046"/>
    <w:rsid w:val="00DF6DCB"/>
    <w:rsid w:val="00DF75CC"/>
    <w:rsid w:val="00E0022E"/>
    <w:rsid w:val="00E012F5"/>
    <w:rsid w:val="00E026A1"/>
    <w:rsid w:val="00E028B5"/>
    <w:rsid w:val="00E02D05"/>
    <w:rsid w:val="00E041A7"/>
    <w:rsid w:val="00E0444A"/>
    <w:rsid w:val="00E04818"/>
    <w:rsid w:val="00E05550"/>
    <w:rsid w:val="00E05647"/>
    <w:rsid w:val="00E05D65"/>
    <w:rsid w:val="00E07485"/>
    <w:rsid w:val="00E10134"/>
    <w:rsid w:val="00E1032D"/>
    <w:rsid w:val="00E10738"/>
    <w:rsid w:val="00E10C91"/>
    <w:rsid w:val="00E10EA5"/>
    <w:rsid w:val="00E1261E"/>
    <w:rsid w:val="00E1261F"/>
    <w:rsid w:val="00E12DCE"/>
    <w:rsid w:val="00E13119"/>
    <w:rsid w:val="00E137BE"/>
    <w:rsid w:val="00E14039"/>
    <w:rsid w:val="00E15139"/>
    <w:rsid w:val="00E15492"/>
    <w:rsid w:val="00E16150"/>
    <w:rsid w:val="00E163F7"/>
    <w:rsid w:val="00E16A8C"/>
    <w:rsid w:val="00E17010"/>
    <w:rsid w:val="00E2031C"/>
    <w:rsid w:val="00E207E3"/>
    <w:rsid w:val="00E20B18"/>
    <w:rsid w:val="00E20C4B"/>
    <w:rsid w:val="00E210DB"/>
    <w:rsid w:val="00E21504"/>
    <w:rsid w:val="00E21FD1"/>
    <w:rsid w:val="00E2335B"/>
    <w:rsid w:val="00E2375E"/>
    <w:rsid w:val="00E23C21"/>
    <w:rsid w:val="00E23D39"/>
    <w:rsid w:val="00E240C0"/>
    <w:rsid w:val="00E240DA"/>
    <w:rsid w:val="00E25741"/>
    <w:rsid w:val="00E260AF"/>
    <w:rsid w:val="00E266F3"/>
    <w:rsid w:val="00E26A03"/>
    <w:rsid w:val="00E26AC4"/>
    <w:rsid w:val="00E2741E"/>
    <w:rsid w:val="00E277DA"/>
    <w:rsid w:val="00E27A30"/>
    <w:rsid w:val="00E30645"/>
    <w:rsid w:val="00E3095B"/>
    <w:rsid w:val="00E31194"/>
    <w:rsid w:val="00E32B20"/>
    <w:rsid w:val="00E3307C"/>
    <w:rsid w:val="00E33CF3"/>
    <w:rsid w:val="00E35427"/>
    <w:rsid w:val="00E35912"/>
    <w:rsid w:val="00E3641D"/>
    <w:rsid w:val="00E3782B"/>
    <w:rsid w:val="00E41359"/>
    <w:rsid w:val="00E41EB6"/>
    <w:rsid w:val="00E42BC8"/>
    <w:rsid w:val="00E42F06"/>
    <w:rsid w:val="00E4351D"/>
    <w:rsid w:val="00E4367D"/>
    <w:rsid w:val="00E43C38"/>
    <w:rsid w:val="00E44063"/>
    <w:rsid w:val="00E4477D"/>
    <w:rsid w:val="00E448BB"/>
    <w:rsid w:val="00E46B16"/>
    <w:rsid w:val="00E47517"/>
    <w:rsid w:val="00E47774"/>
    <w:rsid w:val="00E47B95"/>
    <w:rsid w:val="00E512F0"/>
    <w:rsid w:val="00E522F3"/>
    <w:rsid w:val="00E5261F"/>
    <w:rsid w:val="00E545BC"/>
    <w:rsid w:val="00E54D53"/>
    <w:rsid w:val="00E55550"/>
    <w:rsid w:val="00E56C36"/>
    <w:rsid w:val="00E56EF3"/>
    <w:rsid w:val="00E572FA"/>
    <w:rsid w:val="00E579F9"/>
    <w:rsid w:val="00E6047C"/>
    <w:rsid w:val="00E60672"/>
    <w:rsid w:val="00E62AF8"/>
    <w:rsid w:val="00E643D0"/>
    <w:rsid w:val="00E64ADA"/>
    <w:rsid w:val="00E65A15"/>
    <w:rsid w:val="00E70A02"/>
    <w:rsid w:val="00E70C61"/>
    <w:rsid w:val="00E70FDA"/>
    <w:rsid w:val="00E71062"/>
    <w:rsid w:val="00E715C5"/>
    <w:rsid w:val="00E71F20"/>
    <w:rsid w:val="00E72125"/>
    <w:rsid w:val="00E7217E"/>
    <w:rsid w:val="00E72BE2"/>
    <w:rsid w:val="00E72EC4"/>
    <w:rsid w:val="00E72EFC"/>
    <w:rsid w:val="00E743D1"/>
    <w:rsid w:val="00E74ADD"/>
    <w:rsid w:val="00E74AE7"/>
    <w:rsid w:val="00E753E3"/>
    <w:rsid w:val="00E7641B"/>
    <w:rsid w:val="00E76DB6"/>
    <w:rsid w:val="00E7743F"/>
    <w:rsid w:val="00E77913"/>
    <w:rsid w:val="00E80477"/>
    <w:rsid w:val="00E80523"/>
    <w:rsid w:val="00E8091A"/>
    <w:rsid w:val="00E81327"/>
    <w:rsid w:val="00E81DC9"/>
    <w:rsid w:val="00E82AFA"/>
    <w:rsid w:val="00E83490"/>
    <w:rsid w:val="00E834A7"/>
    <w:rsid w:val="00E8424F"/>
    <w:rsid w:val="00E84895"/>
    <w:rsid w:val="00E849F0"/>
    <w:rsid w:val="00E8701D"/>
    <w:rsid w:val="00E87240"/>
    <w:rsid w:val="00E873B5"/>
    <w:rsid w:val="00E874C3"/>
    <w:rsid w:val="00E877C4"/>
    <w:rsid w:val="00E902EC"/>
    <w:rsid w:val="00E90BCD"/>
    <w:rsid w:val="00E90DF7"/>
    <w:rsid w:val="00E90FEB"/>
    <w:rsid w:val="00E91050"/>
    <w:rsid w:val="00E91991"/>
    <w:rsid w:val="00E921CE"/>
    <w:rsid w:val="00E935B8"/>
    <w:rsid w:val="00E9366B"/>
    <w:rsid w:val="00E93FBB"/>
    <w:rsid w:val="00E94808"/>
    <w:rsid w:val="00E94852"/>
    <w:rsid w:val="00E968D8"/>
    <w:rsid w:val="00E973B3"/>
    <w:rsid w:val="00E97779"/>
    <w:rsid w:val="00E9794F"/>
    <w:rsid w:val="00E979E8"/>
    <w:rsid w:val="00E97A78"/>
    <w:rsid w:val="00EA0E35"/>
    <w:rsid w:val="00EA1434"/>
    <w:rsid w:val="00EA379D"/>
    <w:rsid w:val="00EA3B60"/>
    <w:rsid w:val="00EA426A"/>
    <w:rsid w:val="00EA4878"/>
    <w:rsid w:val="00EA596C"/>
    <w:rsid w:val="00EA5A7E"/>
    <w:rsid w:val="00EA5E68"/>
    <w:rsid w:val="00EA698C"/>
    <w:rsid w:val="00EA74A9"/>
    <w:rsid w:val="00EA7568"/>
    <w:rsid w:val="00EA795A"/>
    <w:rsid w:val="00EB04C3"/>
    <w:rsid w:val="00EB0B00"/>
    <w:rsid w:val="00EB1094"/>
    <w:rsid w:val="00EB178D"/>
    <w:rsid w:val="00EB278C"/>
    <w:rsid w:val="00EB320A"/>
    <w:rsid w:val="00EB3F10"/>
    <w:rsid w:val="00EB4015"/>
    <w:rsid w:val="00EB424E"/>
    <w:rsid w:val="00EB436C"/>
    <w:rsid w:val="00EB4828"/>
    <w:rsid w:val="00EB65AC"/>
    <w:rsid w:val="00EB7EE9"/>
    <w:rsid w:val="00EC0177"/>
    <w:rsid w:val="00EC070F"/>
    <w:rsid w:val="00EC0E04"/>
    <w:rsid w:val="00EC1914"/>
    <w:rsid w:val="00EC1947"/>
    <w:rsid w:val="00EC1A27"/>
    <w:rsid w:val="00EC22C0"/>
    <w:rsid w:val="00EC36CD"/>
    <w:rsid w:val="00EC3C75"/>
    <w:rsid w:val="00EC4878"/>
    <w:rsid w:val="00EC4AAA"/>
    <w:rsid w:val="00EC4E25"/>
    <w:rsid w:val="00EC76DF"/>
    <w:rsid w:val="00EC798A"/>
    <w:rsid w:val="00EC7FA3"/>
    <w:rsid w:val="00ED028C"/>
    <w:rsid w:val="00ED058B"/>
    <w:rsid w:val="00ED2441"/>
    <w:rsid w:val="00ED30B6"/>
    <w:rsid w:val="00ED4BE7"/>
    <w:rsid w:val="00ED5668"/>
    <w:rsid w:val="00ED56C8"/>
    <w:rsid w:val="00ED57B0"/>
    <w:rsid w:val="00ED6457"/>
    <w:rsid w:val="00ED6491"/>
    <w:rsid w:val="00ED719D"/>
    <w:rsid w:val="00ED7DC4"/>
    <w:rsid w:val="00EE0423"/>
    <w:rsid w:val="00EE04EA"/>
    <w:rsid w:val="00EE08BD"/>
    <w:rsid w:val="00EE0C5B"/>
    <w:rsid w:val="00EE14E2"/>
    <w:rsid w:val="00EE18EF"/>
    <w:rsid w:val="00EE41EA"/>
    <w:rsid w:val="00EE4506"/>
    <w:rsid w:val="00EE505B"/>
    <w:rsid w:val="00EE50D1"/>
    <w:rsid w:val="00EE5619"/>
    <w:rsid w:val="00EE66A4"/>
    <w:rsid w:val="00EE73B3"/>
    <w:rsid w:val="00EE7B8A"/>
    <w:rsid w:val="00EE7F97"/>
    <w:rsid w:val="00EF06BA"/>
    <w:rsid w:val="00EF0FF1"/>
    <w:rsid w:val="00EF17AB"/>
    <w:rsid w:val="00EF1C73"/>
    <w:rsid w:val="00EF378B"/>
    <w:rsid w:val="00EF4593"/>
    <w:rsid w:val="00EF46C0"/>
    <w:rsid w:val="00EF5439"/>
    <w:rsid w:val="00EF61F2"/>
    <w:rsid w:val="00EF6334"/>
    <w:rsid w:val="00EF6BBF"/>
    <w:rsid w:val="00EF7313"/>
    <w:rsid w:val="00EF7940"/>
    <w:rsid w:val="00EF7DFD"/>
    <w:rsid w:val="00EF7FAD"/>
    <w:rsid w:val="00F00184"/>
    <w:rsid w:val="00F00482"/>
    <w:rsid w:val="00F008B0"/>
    <w:rsid w:val="00F00973"/>
    <w:rsid w:val="00F00F10"/>
    <w:rsid w:val="00F01130"/>
    <w:rsid w:val="00F01C6D"/>
    <w:rsid w:val="00F02846"/>
    <w:rsid w:val="00F02954"/>
    <w:rsid w:val="00F029F4"/>
    <w:rsid w:val="00F02C24"/>
    <w:rsid w:val="00F02E20"/>
    <w:rsid w:val="00F031A2"/>
    <w:rsid w:val="00F0393B"/>
    <w:rsid w:val="00F042D8"/>
    <w:rsid w:val="00F04386"/>
    <w:rsid w:val="00F04415"/>
    <w:rsid w:val="00F04A76"/>
    <w:rsid w:val="00F04BE0"/>
    <w:rsid w:val="00F04C5E"/>
    <w:rsid w:val="00F04FE3"/>
    <w:rsid w:val="00F05442"/>
    <w:rsid w:val="00F055D1"/>
    <w:rsid w:val="00F057C1"/>
    <w:rsid w:val="00F0726C"/>
    <w:rsid w:val="00F0754E"/>
    <w:rsid w:val="00F07FB3"/>
    <w:rsid w:val="00F10ED2"/>
    <w:rsid w:val="00F1131F"/>
    <w:rsid w:val="00F11374"/>
    <w:rsid w:val="00F11381"/>
    <w:rsid w:val="00F11DB4"/>
    <w:rsid w:val="00F12515"/>
    <w:rsid w:val="00F12811"/>
    <w:rsid w:val="00F12B96"/>
    <w:rsid w:val="00F13142"/>
    <w:rsid w:val="00F137EF"/>
    <w:rsid w:val="00F13B15"/>
    <w:rsid w:val="00F13E00"/>
    <w:rsid w:val="00F14050"/>
    <w:rsid w:val="00F14695"/>
    <w:rsid w:val="00F14718"/>
    <w:rsid w:val="00F14FFC"/>
    <w:rsid w:val="00F15CDD"/>
    <w:rsid w:val="00F16051"/>
    <w:rsid w:val="00F1727B"/>
    <w:rsid w:val="00F17DFA"/>
    <w:rsid w:val="00F20237"/>
    <w:rsid w:val="00F2039F"/>
    <w:rsid w:val="00F20491"/>
    <w:rsid w:val="00F20575"/>
    <w:rsid w:val="00F20858"/>
    <w:rsid w:val="00F20AF6"/>
    <w:rsid w:val="00F21143"/>
    <w:rsid w:val="00F211E7"/>
    <w:rsid w:val="00F2162B"/>
    <w:rsid w:val="00F218CE"/>
    <w:rsid w:val="00F21A02"/>
    <w:rsid w:val="00F21AC9"/>
    <w:rsid w:val="00F21B45"/>
    <w:rsid w:val="00F22966"/>
    <w:rsid w:val="00F22A97"/>
    <w:rsid w:val="00F22B0A"/>
    <w:rsid w:val="00F22FC8"/>
    <w:rsid w:val="00F237D0"/>
    <w:rsid w:val="00F2397F"/>
    <w:rsid w:val="00F23F19"/>
    <w:rsid w:val="00F247BB"/>
    <w:rsid w:val="00F24AB2"/>
    <w:rsid w:val="00F24E43"/>
    <w:rsid w:val="00F24F79"/>
    <w:rsid w:val="00F26048"/>
    <w:rsid w:val="00F26264"/>
    <w:rsid w:val="00F26FC2"/>
    <w:rsid w:val="00F2737A"/>
    <w:rsid w:val="00F30F53"/>
    <w:rsid w:val="00F32560"/>
    <w:rsid w:val="00F32799"/>
    <w:rsid w:val="00F34CEC"/>
    <w:rsid w:val="00F34E24"/>
    <w:rsid w:val="00F356E7"/>
    <w:rsid w:val="00F36DA0"/>
    <w:rsid w:val="00F375B8"/>
    <w:rsid w:val="00F37EF0"/>
    <w:rsid w:val="00F40E62"/>
    <w:rsid w:val="00F41454"/>
    <w:rsid w:val="00F41860"/>
    <w:rsid w:val="00F41DCA"/>
    <w:rsid w:val="00F42C0E"/>
    <w:rsid w:val="00F42F0A"/>
    <w:rsid w:val="00F44913"/>
    <w:rsid w:val="00F449EE"/>
    <w:rsid w:val="00F45A5A"/>
    <w:rsid w:val="00F47831"/>
    <w:rsid w:val="00F47832"/>
    <w:rsid w:val="00F50576"/>
    <w:rsid w:val="00F5081B"/>
    <w:rsid w:val="00F51972"/>
    <w:rsid w:val="00F51C5B"/>
    <w:rsid w:val="00F51D1F"/>
    <w:rsid w:val="00F51F45"/>
    <w:rsid w:val="00F52E3D"/>
    <w:rsid w:val="00F5440E"/>
    <w:rsid w:val="00F54932"/>
    <w:rsid w:val="00F54C39"/>
    <w:rsid w:val="00F56765"/>
    <w:rsid w:val="00F56C49"/>
    <w:rsid w:val="00F56D18"/>
    <w:rsid w:val="00F57158"/>
    <w:rsid w:val="00F6065A"/>
    <w:rsid w:val="00F6090D"/>
    <w:rsid w:val="00F60B8B"/>
    <w:rsid w:val="00F60F6A"/>
    <w:rsid w:val="00F61538"/>
    <w:rsid w:val="00F6156C"/>
    <w:rsid w:val="00F626E8"/>
    <w:rsid w:val="00F62818"/>
    <w:rsid w:val="00F62820"/>
    <w:rsid w:val="00F64DD2"/>
    <w:rsid w:val="00F64E0A"/>
    <w:rsid w:val="00F65625"/>
    <w:rsid w:val="00F659A3"/>
    <w:rsid w:val="00F65B6E"/>
    <w:rsid w:val="00F703F0"/>
    <w:rsid w:val="00F71FD1"/>
    <w:rsid w:val="00F7320A"/>
    <w:rsid w:val="00F73FD7"/>
    <w:rsid w:val="00F74EB9"/>
    <w:rsid w:val="00F75F35"/>
    <w:rsid w:val="00F76633"/>
    <w:rsid w:val="00F76656"/>
    <w:rsid w:val="00F76B7C"/>
    <w:rsid w:val="00F77203"/>
    <w:rsid w:val="00F77CA2"/>
    <w:rsid w:val="00F809F4"/>
    <w:rsid w:val="00F81CA1"/>
    <w:rsid w:val="00F843D1"/>
    <w:rsid w:val="00F84F21"/>
    <w:rsid w:val="00F85336"/>
    <w:rsid w:val="00F867EC"/>
    <w:rsid w:val="00F868B5"/>
    <w:rsid w:val="00F87731"/>
    <w:rsid w:val="00F8779F"/>
    <w:rsid w:val="00F877DB"/>
    <w:rsid w:val="00F87AD8"/>
    <w:rsid w:val="00F87B15"/>
    <w:rsid w:val="00F90158"/>
    <w:rsid w:val="00F901D5"/>
    <w:rsid w:val="00F90C46"/>
    <w:rsid w:val="00F91776"/>
    <w:rsid w:val="00F91A08"/>
    <w:rsid w:val="00F92F24"/>
    <w:rsid w:val="00F934C2"/>
    <w:rsid w:val="00F93AA1"/>
    <w:rsid w:val="00F93AD2"/>
    <w:rsid w:val="00F955EA"/>
    <w:rsid w:val="00F9612A"/>
    <w:rsid w:val="00F96BD1"/>
    <w:rsid w:val="00F96E58"/>
    <w:rsid w:val="00F97439"/>
    <w:rsid w:val="00F9780B"/>
    <w:rsid w:val="00F97FE6"/>
    <w:rsid w:val="00FA02D7"/>
    <w:rsid w:val="00FA0491"/>
    <w:rsid w:val="00FA26C3"/>
    <w:rsid w:val="00FA2983"/>
    <w:rsid w:val="00FA3E15"/>
    <w:rsid w:val="00FA3FED"/>
    <w:rsid w:val="00FA4EFB"/>
    <w:rsid w:val="00FA5048"/>
    <w:rsid w:val="00FA5F95"/>
    <w:rsid w:val="00FA62DB"/>
    <w:rsid w:val="00FA638C"/>
    <w:rsid w:val="00FA63C8"/>
    <w:rsid w:val="00FA72B1"/>
    <w:rsid w:val="00FA7D25"/>
    <w:rsid w:val="00FB0B27"/>
    <w:rsid w:val="00FB0DD2"/>
    <w:rsid w:val="00FB14D3"/>
    <w:rsid w:val="00FB1A96"/>
    <w:rsid w:val="00FB1D86"/>
    <w:rsid w:val="00FB26D8"/>
    <w:rsid w:val="00FB27F8"/>
    <w:rsid w:val="00FB298B"/>
    <w:rsid w:val="00FB33FE"/>
    <w:rsid w:val="00FB37CB"/>
    <w:rsid w:val="00FB3A5E"/>
    <w:rsid w:val="00FB453C"/>
    <w:rsid w:val="00FB4BA6"/>
    <w:rsid w:val="00FB5320"/>
    <w:rsid w:val="00FB5839"/>
    <w:rsid w:val="00FB659B"/>
    <w:rsid w:val="00FB65CC"/>
    <w:rsid w:val="00FB68D2"/>
    <w:rsid w:val="00FB6904"/>
    <w:rsid w:val="00FB708F"/>
    <w:rsid w:val="00FB743C"/>
    <w:rsid w:val="00FB7FDC"/>
    <w:rsid w:val="00FC094D"/>
    <w:rsid w:val="00FC0BEF"/>
    <w:rsid w:val="00FC1BA6"/>
    <w:rsid w:val="00FC1CB3"/>
    <w:rsid w:val="00FC2412"/>
    <w:rsid w:val="00FC2AF2"/>
    <w:rsid w:val="00FC33B2"/>
    <w:rsid w:val="00FC4203"/>
    <w:rsid w:val="00FC4CC6"/>
    <w:rsid w:val="00FC50C9"/>
    <w:rsid w:val="00FC50E9"/>
    <w:rsid w:val="00FC5201"/>
    <w:rsid w:val="00FC542B"/>
    <w:rsid w:val="00FC55DE"/>
    <w:rsid w:val="00FC57F7"/>
    <w:rsid w:val="00FC5835"/>
    <w:rsid w:val="00FC6308"/>
    <w:rsid w:val="00FC632B"/>
    <w:rsid w:val="00FD0738"/>
    <w:rsid w:val="00FD0E2E"/>
    <w:rsid w:val="00FD0FA7"/>
    <w:rsid w:val="00FD1021"/>
    <w:rsid w:val="00FD1505"/>
    <w:rsid w:val="00FD19A6"/>
    <w:rsid w:val="00FD1BA5"/>
    <w:rsid w:val="00FD291B"/>
    <w:rsid w:val="00FD3B55"/>
    <w:rsid w:val="00FD4293"/>
    <w:rsid w:val="00FD42D6"/>
    <w:rsid w:val="00FD44D4"/>
    <w:rsid w:val="00FD4C2A"/>
    <w:rsid w:val="00FE0291"/>
    <w:rsid w:val="00FE09E6"/>
    <w:rsid w:val="00FE12A8"/>
    <w:rsid w:val="00FE131B"/>
    <w:rsid w:val="00FE1C5A"/>
    <w:rsid w:val="00FE2D2F"/>
    <w:rsid w:val="00FE341D"/>
    <w:rsid w:val="00FE4360"/>
    <w:rsid w:val="00FE4D11"/>
    <w:rsid w:val="00FE62D2"/>
    <w:rsid w:val="00FE7E2C"/>
    <w:rsid w:val="00FF01B8"/>
    <w:rsid w:val="00FF0BA5"/>
    <w:rsid w:val="00FF1A75"/>
    <w:rsid w:val="00FF1CA8"/>
    <w:rsid w:val="00FF1E77"/>
    <w:rsid w:val="00FF21B2"/>
    <w:rsid w:val="00FF2778"/>
    <w:rsid w:val="00FF2C5C"/>
    <w:rsid w:val="00FF2E76"/>
    <w:rsid w:val="00FF387B"/>
    <w:rsid w:val="00FF41E3"/>
    <w:rsid w:val="00FF4730"/>
    <w:rsid w:val="00FF5035"/>
    <w:rsid w:val="00FF5955"/>
    <w:rsid w:val="04A60A6D"/>
    <w:rsid w:val="069F6C6D"/>
    <w:rsid w:val="0C67306E"/>
    <w:rsid w:val="0FEF7000"/>
    <w:rsid w:val="143036B3"/>
    <w:rsid w:val="14E01AB1"/>
    <w:rsid w:val="17583F5C"/>
    <w:rsid w:val="186C067C"/>
    <w:rsid w:val="19803AD2"/>
    <w:rsid w:val="1B936716"/>
    <w:rsid w:val="24584FF0"/>
    <w:rsid w:val="26021B63"/>
    <w:rsid w:val="2BD044BD"/>
    <w:rsid w:val="2D1F27C3"/>
    <w:rsid w:val="2EAE07C3"/>
    <w:rsid w:val="31273EE5"/>
    <w:rsid w:val="3308308C"/>
    <w:rsid w:val="350C05CE"/>
    <w:rsid w:val="37816E36"/>
    <w:rsid w:val="38EA61F6"/>
    <w:rsid w:val="3BE13F44"/>
    <w:rsid w:val="3C95598D"/>
    <w:rsid w:val="3F114001"/>
    <w:rsid w:val="3FAE2961"/>
    <w:rsid w:val="41760419"/>
    <w:rsid w:val="438837D9"/>
    <w:rsid w:val="454C1AE2"/>
    <w:rsid w:val="4CEA4EB7"/>
    <w:rsid w:val="4FF32FFB"/>
    <w:rsid w:val="51554C51"/>
    <w:rsid w:val="55D42C37"/>
    <w:rsid w:val="56847899"/>
    <w:rsid w:val="56A5110D"/>
    <w:rsid w:val="56E52C16"/>
    <w:rsid w:val="57FB0104"/>
    <w:rsid w:val="59137E51"/>
    <w:rsid w:val="5A4004B1"/>
    <w:rsid w:val="5CBC7485"/>
    <w:rsid w:val="5EEC2920"/>
    <w:rsid w:val="616E5D6A"/>
    <w:rsid w:val="6212293B"/>
    <w:rsid w:val="67F35AA2"/>
    <w:rsid w:val="695069D3"/>
    <w:rsid w:val="69CD5AF5"/>
    <w:rsid w:val="6D991A73"/>
    <w:rsid w:val="6E1041EB"/>
    <w:rsid w:val="6F7E8373"/>
    <w:rsid w:val="6FFA46AA"/>
    <w:rsid w:val="734A3ED0"/>
    <w:rsid w:val="73785000"/>
    <w:rsid w:val="73CD16DE"/>
    <w:rsid w:val="73E936A6"/>
    <w:rsid w:val="74A84C94"/>
    <w:rsid w:val="79683437"/>
    <w:rsid w:val="7B5630D4"/>
    <w:rsid w:val="7BC365CD"/>
    <w:rsid w:val="7F470386"/>
    <w:rsid w:val="91FB62B1"/>
    <w:rsid w:val="BDF7D5AA"/>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ocked="1"/>
    <w:lsdException w:qFormat="1" w:unhideWhenUsed="0" w:uiPriority="99" w:semiHidden="0" w:name="heading 3"/>
    <w:lsdException w:qFormat="1" w:unhideWhenUsed="0" w:uiPriority="0" w:semiHidden="0"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39" w:semiHidden="0" w:name="toc 1"/>
    <w:lsdException w:qFormat="1" w:unhideWhenUsed="0" w:uiPriority="39" w:semiHidden="0" w:name="toc 2"/>
    <w:lsdException w:qFormat="1" w:unhideWhenUsed="0" w:uiPriority="39" w:semiHidden="0" w:name="toc 3"/>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0" w:semiHidden="0" w:name="Normal Indent" w:locked="1"/>
    <w:lsdException w:uiPriority="99" w:name="footnote text" w:locked="1"/>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35"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qFormat="1" w:unhideWhenUsed="0" w:uiPriority="99"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name="Date"/>
    <w:lsdException w:qFormat="1" w:unhideWhenUsed="0" w:uiPriority="99" w:name="Body Text First Indent"/>
    <w:lsdException w:qFormat="1" w:uiPriority="99" w:semiHidden="0" w:name="Body Text First Indent 2" w:locked="1"/>
    <w:lsdException w:uiPriority="99" w:name="Note Heading" w:locked="1"/>
    <w:lsdException w:uiPriority="99" w:name="Body Text 2" w:locked="1"/>
    <w:lsdException w:uiPriority="99" w:name="Body Text 3" w:locked="1"/>
    <w:lsdException w:qFormat="1" w:unhideWhenUsed="0" w:uiPriority="0" w:semiHidden="0"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22" w:semiHidden="0" w:name="Strong" w:locked="1"/>
    <w:lsdException w:qFormat="1" w:unhideWhenUsed="0" w:uiPriority="20" w:semiHidden="0" w:name="Emphasis" w:locked="1"/>
    <w:lsdException w:qFormat="1" w:unhideWhenUsed="0"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85"/>
    <w:unhideWhenUsed/>
    <w:qFormat/>
    <w:locked/>
    <w:uiPriority w:val="9"/>
    <w:pPr>
      <w:keepNext/>
      <w:keepLines/>
      <w:spacing w:before="260" w:after="260" w:line="416" w:lineRule="auto"/>
      <w:outlineLvl w:val="1"/>
    </w:pPr>
    <w:rPr>
      <w:rFonts w:ascii="Cambria" w:hAnsi="Cambria"/>
      <w:b/>
      <w:bCs/>
      <w:sz w:val="32"/>
      <w:szCs w:val="32"/>
    </w:rPr>
  </w:style>
  <w:style w:type="paragraph" w:styleId="6">
    <w:name w:val="heading 3"/>
    <w:basedOn w:val="1"/>
    <w:next w:val="1"/>
    <w:link w:val="31"/>
    <w:qFormat/>
    <w:uiPriority w:val="99"/>
    <w:pPr>
      <w:keepNext/>
      <w:keepLines/>
      <w:widowControl/>
      <w:spacing w:before="260" w:after="260" w:line="416" w:lineRule="auto"/>
      <w:ind w:firstLine="360"/>
      <w:jc w:val="left"/>
      <w:outlineLvl w:val="2"/>
    </w:pPr>
    <w:rPr>
      <w:rFonts w:ascii="Calibri" w:hAnsi="Calibri"/>
      <w:b/>
      <w:bCs/>
      <w:kern w:val="0"/>
      <w:sz w:val="32"/>
      <w:szCs w:val="32"/>
    </w:rPr>
  </w:style>
  <w:style w:type="paragraph" w:styleId="7">
    <w:name w:val="heading 4"/>
    <w:basedOn w:val="1"/>
    <w:next w:val="1"/>
    <w:link w:val="86"/>
    <w:qFormat/>
    <w:locked/>
    <w:uiPriority w:val="0"/>
    <w:pPr>
      <w:keepNext/>
      <w:keepLines/>
      <w:spacing w:before="280" w:after="290" w:line="376" w:lineRule="auto"/>
      <w:outlineLvl w:val="3"/>
    </w:pPr>
    <w:rPr>
      <w:rFonts w:ascii="Arial" w:hAnsi="Arial" w:eastAsia="黑体"/>
      <w:b/>
      <w:bCs/>
      <w:sz w:val="28"/>
      <w:szCs w:val="28"/>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locked/>
    <w:uiPriority w:val="99"/>
    <w:pPr>
      <w:ind w:firstLine="420" w:firstLineChars="200"/>
    </w:pPr>
  </w:style>
  <w:style w:type="paragraph" w:styleId="3">
    <w:name w:val="Body Text Indent"/>
    <w:basedOn w:val="1"/>
    <w:link w:val="57"/>
    <w:qFormat/>
    <w:uiPriority w:val="99"/>
    <w:pPr>
      <w:autoSpaceDE w:val="0"/>
      <w:autoSpaceDN w:val="0"/>
      <w:adjustRightInd w:val="0"/>
      <w:spacing w:line="504" w:lineRule="exact"/>
      <w:ind w:firstLine="480"/>
    </w:pPr>
    <w:rPr>
      <w:kern w:val="0"/>
      <w:sz w:val="24"/>
      <w:szCs w:val="20"/>
    </w:rPr>
  </w:style>
  <w:style w:type="paragraph" w:styleId="8">
    <w:name w:val="Normal Indent"/>
    <w:basedOn w:val="1"/>
    <w:qFormat/>
    <w:locked/>
    <w:uiPriority w:val="0"/>
    <w:pPr>
      <w:spacing w:line="480" w:lineRule="exact"/>
      <w:ind w:firstLine="200" w:firstLineChars="200"/>
    </w:pPr>
    <w:rPr>
      <w:rFonts w:eastAsia="仿宋_GB2312"/>
      <w:sz w:val="28"/>
    </w:rPr>
  </w:style>
  <w:style w:type="paragraph" w:styleId="9">
    <w:name w:val="caption"/>
    <w:basedOn w:val="1"/>
    <w:next w:val="1"/>
    <w:qFormat/>
    <w:uiPriority w:val="35"/>
    <w:rPr>
      <w:rFonts w:ascii="Cambria" w:hAnsi="Cambria" w:eastAsia="黑体"/>
      <w:sz w:val="20"/>
      <w:szCs w:val="20"/>
    </w:rPr>
  </w:style>
  <w:style w:type="paragraph" w:styleId="10">
    <w:name w:val="Document Map"/>
    <w:basedOn w:val="1"/>
    <w:link w:val="84"/>
    <w:semiHidden/>
    <w:qFormat/>
    <w:locked/>
    <w:uiPriority w:val="99"/>
    <w:pPr>
      <w:shd w:val="clear" w:color="auto" w:fill="000080"/>
    </w:pPr>
  </w:style>
  <w:style w:type="paragraph" w:styleId="11">
    <w:name w:val="annotation text"/>
    <w:basedOn w:val="1"/>
    <w:link w:val="55"/>
    <w:qFormat/>
    <w:uiPriority w:val="0"/>
    <w:pPr>
      <w:jc w:val="left"/>
    </w:pPr>
  </w:style>
  <w:style w:type="paragraph" w:styleId="12">
    <w:name w:val="Body Text"/>
    <w:basedOn w:val="1"/>
    <w:link w:val="59"/>
    <w:semiHidden/>
    <w:qFormat/>
    <w:uiPriority w:val="99"/>
    <w:pPr>
      <w:spacing w:after="120"/>
    </w:pPr>
  </w:style>
  <w:style w:type="paragraph" w:styleId="13">
    <w:name w:val="toc 3"/>
    <w:basedOn w:val="1"/>
    <w:next w:val="1"/>
    <w:qFormat/>
    <w:uiPriority w:val="39"/>
    <w:pPr>
      <w:ind w:left="840" w:leftChars="400"/>
    </w:pPr>
  </w:style>
  <w:style w:type="paragraph" w:styleId="14">
    <w:name w:val="Date"/>
    <w:basedOn w:val="1"/>
    <w:next w:val="1"/>
    <w:link w:val="81"/>
    <w:semiHidden/>
    <w:qFormat/>
    <w:uiPriority w:val="99"/>
    <w:pPr>
      <w:ind w:left="100" w:leftChars="2500"/>
    </w:pPr>
  </w:style>
  <w:style w:type="paragraph" w:styleId="15">
    <w:name w:val="Body Text Indent 2"/>
    <w:basedOn w:val="1"/>
    <w:link w:val="93"/>
    <w:qFormat/>
    <w:locked/>
    <w:uiPriority w:val="0"/>
    <w:pPr>
      <w:spacing w:after="120" w:line="480" w:lineRule="auto"/>
      <w:ind w:left="420" w:leftChars="200"/>
    </w:pPr>
  </w:style>
  <w:style w:type="paragraph" w:styleId="16">
    <w:name w:val="Balloon Text"/>
    <w:basedOn w:val="1"/>
    <w:link w:val="32"/>
    <w:qFormat/>
    <w:uiPriority w:val="99"/>
    <w:pPr>
      <w:widowControl/>
      <w:ind w:firstLine="360"/>
      <w:jc w:val="left"/>
    </w:pPr>
    <w:rPr>
      <w:rFonts w:ascii="Calibri" w:hAnsi="Calibri"/>
      <w:kern w:val="0"/>
      <w:sz w:val="18"/>
      <w:szCs w:val="18"/>
    </w:rPr>
  </w:style>
  <w:style w:type="paragraph" w:styleId="17">
    <w:name w:val="footer"/>
    <w:basedOn w:val="1"/>
    <w:link w:val="33"/>
    <w:qFormat/>
    <w:uiPriority w:val="99"/>
    <w:pPr>
      <w:tabs>
        <w:tab w:val="center" w:pos="4153"/>
        <w:tab w:val="right" w:pos="8306"/>
      </w:tabs>
      <w:snapToGrid w:val="0"/>
      <w:jc w:val="left"/>
    </w:pPr>
    <w:rPr>
      <w:kern w:val="0"/>
      <w:sz w:val="18"/>
      <w:szCs w:val="18"/>
    </w:rPr>
  </w:style>
  <w:style w:type="paragraph" w:styleId="18">
    <w:name w:val="header"/>
    <w:basedOn w:val="1"/>
    <w:link w:val="34"/>
    <w:qFormat/>
    <w:uiPriority w:val="99"/>
    <w:pPr>
      <w:widowControl/>
      <w:tabs>
        <w:tab w:val="center" w:pos="4153"/>
        <w:tab w:val="right" w:pos="8306"/>
      </w:tabs>
      <w:snapToGrid w:val="0"/>
      <w:ind w:firstLine="360"/>
      <w:jc w:val="center"/>
    </w:pPr>
    <w:rPr>
      <w:rFonts w:ascii="Calibri" w:hAnsi="Calibri"/>
      <w:kern w:val="0"/>
      <w:sz w:val="18"/>
      <w:szCs w:val="18"/>
    </w:rPr>
  </w:style>
  <w:style w:type="paragraph" w:styleId="19">
    <w:name w:val="toc 1"/>
    <w:basedOn w:val="1"/>
    <w:next w:val="1"/>
    <w:qFormat/>
    <w:uiPriority w:val="39"/>
    <w:pPr>
      <w:tabs>
        <w:tab w:val="right" w:leader="dot" w:pos="9241"/>
      </w:tabs>
      <w:spacing w:beforeLines="25" w:afterLines="25"/>
      <w:jc w:val="left"/>
    </w:pPr>
    <w:rPr>
      <w:rFonts w:ascii="宋体"/>
      <w:szCs w:val="21"/>
    </w:rPr>
  </w:style>
  <w:style w:type="paragraph" w:styleId="20">
    <w:name w:val="toc 2"/>
    <w:basedOn w:val="1"/>
    <w:next w:val="1"/>
    <w:qFormat/>
    <w:uiPriority w:val="39"/>
    <w:pPr>
      <w:ind w:left="420" w:leftChars="200"/>
    </w:pPr>
  </w:style>
  <w:style w:type="paragraph" w:styleId="21">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22">
    <w:name w:val="annotation subject"/>
    <w:basedOn w:val="11"/>
    <w:next w:val="11"/>
    <w:link w:val="117"/>
    <w:semiHidden/>
    <w:unhideWhenUsed/>
    <w:qFormat/>
    <w:locked/>
    <w:uiPriority w:val="99"/>
    <w:rPr>
      <w:b/>
      <w:bCs/>
    </w:rPr>
  </w:style>
  <w:style w:type="paragraph" w:styleId="23">
    <w:name w:val="Body Text First Indent"/>
    <w:basedOn w:val="12"/>
    <w:link w:val="60"/>
    <w:semiHidden/>
    <w:qFormat/>
    <w:uiPriority w:val="99"/>
    <w:pPr>
      <w:ind w:firstLine="420" w:firstLineChars="100"/>
    </w:pPr>
  </w:style>
  <w:style w:type="table" w:styleId="25">
    <w:name w:val="Table Grid"/>
    <w:basedOn w:val="24"/>
    <w:qFormat/>
    <w:uiPriority w:val="9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7">
    <w:name w:val="Strong"/>
    <w:qFormat/>
    <w:locked/>
    <w:uiPriority w:val="22"/>
    <w:rPr>
      <w:b/>
      <w:bCs/>
    </w:rPr>
  </w:style>
  <w:style w:type="character" w:styleId="28">
    <w:name w:val="Hyperlink"/>
    <w:basedOn w:val="26"/>
    <w:qFormat/>
    <w:uiPriority w:val="99"/>
    <w:rPr>
      <w:rFonts w:cs="Times New Roman"/>
      <w:color w:val="0000FF"/>
      <w:spacing w:val="0"/>
      <w:w w:val="100"/>
      <w:sz w:val="21"/>
      <w:u w:val="single"/>
    </w:rPr>
  </w:style>
  <w:style w:type="character" w:styleId="29">
    <w:name w:val="annotation reference"/>
    <w:basedOn w:val="26"/>
    <w:semiHidden/>
    <w:unhideWhenUsed/>
    <w:qFormat/>
    <w:locked/>
    <w:uiPriority w:val="99"/>
    <w:rPr>
      <w:sz w:val="21"/>
      <w:szCs w:val="21"/>
    </w:rPr>
  </w:style>
  <w:style w:type="character" w:customStyle="1" w:styleId="30">
    <w:name w:val="标题 1 Char"/>
    <w:basedOn w:val="26"/>
    <w:link w:val="4"/>
    <w:qFormat/>
    <w:locked/>
    <w:uiPriority w:val="9"/>
    <w:rPr>
      <w:rFonts w:cs="Times New Roman"/>
      <w:b/>
      <w:bCs/>
      <w:kern w:val="44"/>
      <w:sz w:val="44"/>
      <w:szCs w:val="44"/>
    </w:rPr>
  </w:style>
  <w:style w:type="character" w:customStyle="1" w:styleId="31">
    <w:name w:val="标题 3 Char"/>
    <w:basedOn w:val="26"/>
    <w:link w:val="6"/>
    <w:qFormat/>
    <w:locked/>
    <w:uiPriority w:val="99"/>
    <w:rPr>
      <w:rFonts w:ascii="Calibri" w:hAnsi="Calibri" w:eastAsia="宋体" w:cs="Times New Roman"/>
      <w:b/>
      <w:kern w:val="0"/>
      <w:sz w:val="32"/>
    </w:rPr>
  </w:style>
  <w:style w:type="character" w:customStyle="1" w:styleId="32">
    <w:name w:val="批注框文本 Char"/>
    <w:basedOn w:val="26"/>
    <w:link w:val="16"/>
    <w:qFormat/>
    <w:locked/>
    <w:uiPriority w:val="99"/>
    <w:rPr>
      <w:rFonts w:ascii="Calibri" w:hAnsi="Calibri" w:eastAsia="宋体" w:cs="Times New Roman"/>
      <w:kern w:val="0"/>
      <w:sz w:val="18"/>
    </w:rPr>
  </w:style>
  <w:style w:type="character" w:customStyle="1" w:styleId="33">
    <w:name w:val="页脚 Char"/>
    <w:basedOn w:val="26"/>
    <w:link w:val="17"/>
    <w:qFormat/>
    <w:locked/>
    <w:uiPriority w:val="99"/>
    <w:rPr>
      <w:rFonts w:ascii="Times New Roman" w:hAnsi="Times New Roman" w:eastAsia="宋体" w:cs="Times New Roman"/>
      <w:sz w:val="18"/>
    </w:rPr>
  </w:style>
  <w:style w:type="character" w:customStyle="1" w:styleId="34">
    <w:name w:val="页眉 Char"/>
    <w:basedOn w:val="26"/>
    <w:link w:val="18"/>
    <w:qFormat/>
    <w:locked/>
    <w:uiPriority w:val="99"/>
    <w:rPr>
      <w:rFonts w:ascii="Calibri" w:hAnsi="Calibri" w:eastAsia="宋体" w:cs="Times New Roman"/>
      <w:kern w:val="0"/>
      <w:sz w:val="18"/>
    </w:rPr>
  </w:style>
  <w:style w:type="paragraph" w:customStyle="1" w:styleId="35">
    <w:name w:val="段"/>
    <w:link w:val="49"/>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kern w:val="2"/>
      <w:sz w:val="22"/>
      <w:szCs w:val="22"/>
      <w:lang w:val="en-US" w:eastAsia="zh-CN" w:bidi="ar-SA"/>
    </w:rPr>
  </w:style>
  <w:style w:type="paragraph" w:customStyle="1" w:styleId="36">
    <w:name w:val="一级条标题"/>
    <w:next w:val="35"/>
    <w:qFormat/>
    <w:uiPriority w:val="99"/>
    <w:pPr>
      <w:numPr>
        <w:ilvl w:val="1"/>
        <w:numId w:val="1"/>
      </w:numPr>
      <w:spacing w:beforeLines="50" w:afterLines="50"/>
      <w:outlineLvl w:val="2"/>
    </w:pPr>
    <w:rPr>
      <w:rFonts w:ascii="黑体" w:hAnsi="Times New Roman" w:eastAsia="黑体" w:cs="Times New Roman"/>
      <w:sz w:val="21"/>
      <w:szCs w:val="21"/>
      <w:lang w:val="en-US" w:eastAsia="zh-CN" w:bidi="ar-SA"/>
    </w:rPr>
  </w:style>
  <w:style w:type="paragraph" w:customStyle="1" w:styleId="37">
    <w:name w:val="章标题"/>
    <w:next w:val="35"/>
    <w:link w:val="51"/>
    <w:qFormat/>
    <w:uiPriority w:val="99"/>
    <w:pPr>
      <w:numPr>
        <w:ilvl w:val="0"/>
        <w:numId w:val="1"/>
      </w:numPr>
      <w:spacing w:beforeLines="100" w:afterLines="100"/>
      <w:ind w:left="142"/>
      <w:jc w:val="both"/>
      <w:outlineLvl w:val="1"/>
    </w:pPr>
    <w:rPr>
      <w:rFonts w:ascii="黑体" w:hAnsi="Times New Roman" w:eastAsia="黑体" w:cs="Times New Roman"/>
      <w:sz w:val="21"/>
      <w:lang w:val="en-US" w:eastAsia="zh-CN" w:bidi="ar-SA"/>
    </w:rPr>
  </w:style>
  <w:style w:type="paragraph" w:customStyle="1" w:styleId="38">
    <w:name w:val="二级条标题"/>
    <w:basedOn w:val="36"/>
    <w:next w:val="35"/>
    <w:qFormat/>
    <w:uiPriority w:val="99"/>
    <w:pPr>
      <w:numPr>
        <w:ilvl w:val="2"/>
      </w:numPr>
      <w:spacing w:before="50" w:after="50"/>
      <w:ind w:left="852"/>
      <w:outlineLvl w:val="3"/>
    </w:pPr>
  </w:style>
  <w:style w:type="paragraph" w:customStyle="1" w:styleId="39">
    <w:name w:val="目次、标准名称标题"/>
    <w:basedOn w:val="1"/>
    <w:next w:val="35"/>
    <w:qFormat/>
    <w:uiPriority w:val="99"/>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40">
    <w:name w:val="三级条标题"/>
    <w:basedOn w:val="38"/>
    <w:next w:val="35"/>
    <w:qFormat/>
    <w:uiPriority w:val="99"/>
    <w:pPr>
      <w:numPr>
        <w:ilvl w:val="3"/>
      </w:numPr>
      <w:ind w:left="2520" w:hanging="420"/>
      <w:outlineLvl w:val="4"/>
    </w:pPr>
  </w:style>
  <w:style w:type="paragraph" w:customStyle="1" w:styleId="41">
    <w:name w:val="数字编号列项（二级）"/>
    <w:qFormat/>
    <w:uiPriority w:val="99"/>
    <w:pPr>
      <w:numPr>
        <w:ilvl w:val="1"/>
        <w:numId w:val="2"/>
      </w:numPr>
      <w:tabs>
        <w:tab w:val="left" w:pos="840"/>
      </w:tabs>
      <w:jc w:val="both"/>
    </w:pPr>
    <w:rPr>
      <w:rFonts w:ascii="宋体" w:hAnsi="Times New Roman" w:eastAsia="宋体" w:cs="Times New Roman"/>
      <w:sz w:val="21"/>
      <w:lang w:val="en-US" w:eastAsia="zh-CN" w:bidi="ar-SA"/>
    </w:rPr>
  </w:style>
  <w:style w:type="paragraph" w:customStyle="1" w:styleId="42">
    <w:name w:val="四级条标题"/>
    <w:basedOn w:val="40"/>
    <w:next w:val="35"/>
    <w:qFormat/>
    <w:uiPriority w:val="99"/>
    <w:pPr>
      <w:numPr>
        <w:ilvl w:val="4"/>
      </w:numPr>
      <w:ind w:left="0" w:firstLine="0"/>
      <w:outlineLvl w:val="5"/>
    </w:pPr>
  </w:style>
  <w:style w:type="paragraph" w:customStyle="1" w:styleId="43">
    <w:name w:val="五级条标题"/>
    <w:basedOn w:val="42"/>
    <w:next w:val="35"/>
    <w:qFormat/>
    <w:uiPriority w:val="99"/>
    <w:pPr>
      <w:numPr>
        <w:ilvl w:val="5"/>
      </w:numPr>
      <w:outlineLvl w:val="6"/>
    </w:pPr>
  </w:style>
  <w:style w:type="paragraph" w:customStyle="1" w:styleId="44">
    <w:name w:val="字母编号列项（一级）"/>
    <w:qFormat/>
    <w:uiPriority w:val="99"/>
    <w:pPr>
      <w:numPr>
        <w:ilvl w:val="0"/>
        <w:numId w:val="2"/>
      </w:numPr>
      <w:jc w:val="both"/>
    </w:pPr>
    <w:rPr>
      <w:rFonts w:ascii="宋体" w:hAnsi="Times New Roman" w:eastAsia="宋体" w:cs="Times New Roman"/>
      <w:sz w:val="21"/>
      <w:lang w:val="en-US" w:eastAsia="zh-CN" w:bidi="ar-SA"/>
    </w:rPr>
  </w:style>
  <w:style w:type="paragraph" w:customStyle="1" w:styleId="45">
    <w:name w:val="编号列项（三级）"/>
    <w:qFormat/>
    <w:uiPriority w:val="99"/>
    <w:pPr>
      <w:numPr>
        <w:ilvl w:val="2"/>
        <w:numId w:val="2"/>
      </w:numPr>
      <w:tabs>
        <w:tab w:val="left" w:pos="840"/>
      </w:tabs>
    </w:pPr>
    <w:rPr>
      <w:rFonts w:ascii="宋体" w:hAnsi="Times New Roman" w:eastAsia="宋体" w:cs="Times New Roman"/>
      <w:sz w:val="21"/>
      <w:lang w:val="en-US" w:eastAsia="zh-CN" w:bidi="ar-SA"/>
    </w:rPr>
  </w:style>
  <w:style w:type="paragraph" w:customStyle="1" w:styleId="46">
    <w:name w:val="二级无"/>
    <w:basedOn w:val="38"/>
    <w:qFormat/>
    <w:uiPriority w:val="99"/>
    <w:pPr>
      <w:spacing w:beforeLines="0" w:afterLines="0"/>
    </w:pPr>
    <w:rPr>
      <w:rFonts w:ascii="宋体" w:eastAsia="宋体"/>
    </w:rPr>
  </w:style>
  <w:style w:type="paragraph" w:customStyle="1" w:styleId="47">
    <w:name w:val="三级无"/>
    <w:basedOn w:val="40"/>
    <w:qFormat/>
    <w:uiPriority w:val="99"/>
    <w:pPr>
      <w:spacing w:beforeLines="0" w:afterLines="0"/>
    </w:pPr>
    <w:rPr>
      <w:rFonts w:ascii="宋体" w:eastAsia="宋体"/>
    </w:rPr>
  </w:style>
  <w:style w:type="paragraph" w:customStyle="1" w:styleId="48">
    <w:name w:val="列出段落1"/>
    <w:basedOn w:val="1"/>
    <w:qFormat/>
    <w:uiPriority w:val="0"/>
    <w:pPr>
      <w:ind w:firstLine="420" w:firstLineChars="200"/>
    </w:pPr>
  </w:style>
  <w:style w:type="character" w:customStyle="1" w:styleId="49">
    <w:name w:val="段 Char"/>
    <w:link w:val="35"/>
    <w:qFormat/>
    <w:locked/>
    <w:uiPriority w:val="0"/>
    <w:rPr>
      <w:rFonts w:ascii="宋体"/>
      <w:kern w:val="2"/>
      <w:sz w:val="22"/>
      <w:szCs w:val="22"/>
      <w:lang w:val="en-US" w:eastAsia="zh-CN" w:bidi="ar-SA"/>
    </w:rPr>
  </w:style>
  <w:style w:type="paragraph" w:customStyle="1" w:styleId="50">
    <w:name w:val="样式1"/>
    <w:basedOn w:val="37"/>
    <w:link w:val="52"/>
    <w:qFormat/>
    <w:uiPriority w:val="99"/>
  </w:style>
  <w:style w:type="character" w:customStyle="1" w:styleId="51">
    <w:name w:val="章标题 Char"/>
    <w:basedOn w:val="26"/>
    <w:link w:val="37"/>
    <w:qFormat/>
    <w:locked/>
    <w:uiPriority w:val="99"/>
    <w:rPr>
      <w:rFonts w:ascii="黑体" w:eastAsia="黑体"/>
      <w:sz w:val="21"/>
      <w:lang w:val="en-US" w:eastAsia="zh-CN" w:bidi="ar-SA"/>
    </w:rPr>
  </w:style>
  <w:style w:type="character" w:customStyle="1" w:styleId="52">
    <w:name w:val="样式1 Char"/>
    <w:basedOn w:val="51"/>
    <w:link w:val="50"/>
    <w:qFormat/>
    <w:locked/>
    <w:uiPriority w:val="99"/>
    <w:rPr>
      <w:rFonts w:ascii="黑体" w:eastAsia="黑体"/>
      <w:sz w:val="21"/>
      <w:lang w:val="en-US" w:eastAsia="zh-CN" w:bidi="ar-SA"/>
    </w:rPr>
  </w:style>
  <w:style w:type="paragraph" w:customStyle="1" w:styleId="53">
    <w:name w:val="TOC 标题1"/>
    <w:basedOn w:val="4"/>
    <w:next w:val="1"/>
    <w:qFormat/>
    <w:uiPriority w:val="39"/>
    <w:pPr>
      <w:widowControl/>
      <w:spacing w:before="480" w:after="0" w:line="276" w:lineRule="auto"/>
      <w:jc w:val="left"/>
      <w:outlineLvl w:val="9"/>
    </w:pPr>
    <w:rPr>
      <w:rFonts w:ascii="Cambria" w:hAnsi="Cambria"/>
      <w:color w:val="365F91"/>
      <w:kern w:val="0"/>
      <w:sz w:val="28"/>
      <w:szCs w:val="28"/>
    </w:rPr>
  </w:style>
  <w:style w:type="paragraph" w:styleId="54">
    <w:name w:val="List Paragraph"/>
    <w:basedOn w:val="1"/>
    <w:qFormat/>
    <w:uiPriority w:val="34"/>
    <w:pPr>
      <w:ind w:firstLine="420" w:firstLineChars="200"/>
    </w:pPr>
    <w:rPr>
      <w:rFonts w:ascii="Calibri" w:hAnsi="Calibri"/>
      <w:szCs w:val="22"/>
    </w:rPr>
  </w:style>
  <w:style w:type="character" w:customStyle="1" w:styleId="55">
    <w:name w:val="批注文字 Char"/>
    <w:basedOn w:val="26"/>
    <w:link w:val="11"/>
    <w:qFormat/>
    <w:locked/>
    <w:uiPriority w:val="0"/>
    <w:rPr>
      <w:rFonts w:cs="Times New Roman"/>
      <w:kern w:val="2"/>
      <w:sz w:val="24"/>
      <w:szCs w:val="24"/>
    </w:rPr>
  </w:style>
  <w:style w:type="character" w:customStyle="1" w:styleId="56">
    <w:name w:val="Body Text Indent Char"/>
    <w:qFormat/>
    <w:locked/>
    <w:uiPriority w:val="99"/>
    <w:rPr>
      <w:sz w:val="24"/>
    </w:rPr>
  </w:style>
  <w:style w:type="character" w:customStyle="1" w:styleId="57">
    <w:name w:val="正文文本缩进 Char"/>
    <w:basedOn w:val="26"/>
    <w:link w:val="3"/>
    <w:semiHidden/>
    <w:qFormat/>
    <w:locked/>
    <w:uiPriority w:val="99"/>
    <w:rPr>
      <w:rFonts w:cs="Times New Roman"/>
      <w:sz w:val="24"/>
      <w:szCs w:val="24"/>
    </w:rPr>
  </w:style>
  <w:style w:type="character" w:customStyle="1" w:styleId="58">
    <w:name w:val="正文文本缩进 Char1"/>
    <w:basedOn w:val="26"/>
    <w:semiHidden/>
    <w:qFormat/>
    <w:uiPriority w:val="99"/>
    <w:rPr>
      <w:rFonts w:cs="Times New Roman"/>
      <w:kern w:val="2"/>
      <w:sz w:val="24"/>
      <w:szCs w:val="24"/>
    </w:rPr>
  </w:style>
  <w:style w:type="character" w:customStyle="1" w:styleId="59">
    <w:name w:val="正文文本 Char"/>
    <w:basedOn w:val="26"/>
    <w:link w:val="12"/>
    <w:semiHidden/>
    <w:qFormat/>
    <w:locked/>
    <w:uiPriority w:val="99"/>
    <w:rPr>
      <w:rFonts w:cs="Times New Roman"/>
      <w:kern w:val="2"/>
      <w:sz w:val="24"/>
      <w:szCs w:val="24"/>
    </w:rPr>
  </w:style>
  <w:style w:type="character" w:customStyle="1" w:styleId="60">
    <w:name w:val="正文首行缩进 Char"/>
    <w:basedOn w:val="59"/>
    <w:link w:val="23"/>
    <w:semiHidden/>
    <w:qFormat/>
    <w:locked/>
    <w:uiPriority w:val="99"/>
    <w:rPr>
      <w:rFonts w:cs="Times New Roman"/>
      <w:kern w:val="2"/>
      <w:sz w:val="24"/>
      <w:szCs w:val="24"/>
    </w:rPr>
  </w:style>
  <w:style w:type="paragraph" w:customStyle="1" w:styleId="61">
    <w:name w:val="插入表格"/>
    <w:next w:val="1"/>
    <w:qFormat/>
    <w:uiPriority w:val="99"/>
    <w:pPr>
      <w:widowControl w:val="0"/>
      <w:adjustRightInd w:val="0"/>
      <w:spacing w:before="120" w:after="120"/>
      <w:jc w:val="center"/>
    </w:pPr>
    <w:rPr>
      <w:rFonts w:ascii="Times New Roman" w:hAnsi="Times New Roman" w:eastAsia="宋体" w:cs="Times New Roman"/>
      <w:sz w:val="21"/>
      <w:lang w:val="en-US" w:eastAsia="zh-CN" w:bidi="ar-SA"/>
    </w:rPr>
  </w:style>
  <w:style w:type="paragraph" w:customStyle="1" w:styleId="62">
    <w:name w:val="YL正文"/>
    <w:basedOn w:val="1"/>
    <w:link w:val="63"/>
    <w:qFormat/>
    <w:uiPriority w:val="99"/>
    <w:pPr>
      <w:spacing w:line="300" w:lineRule="auto"/>
      <w:ind w:firstLine="200" w:firstLineChars="200"/>
    </w:pPr>
    <w:rPr>
      <w:rFonts w:ascii="仿宋" w:hAnsi="仿宋"/>
      <w:color w:val="000000"/>
      <w:sz w:val="24"/>
    </w:rPr>
  </w:style>
  <w:style w:type="character" w:customStyle="1" w:styleId="63">
    <w:name w:val="YL正文 Char"/>
    <w:basedOn w:val="26"/>
    <w:link w:val="62"/>
    <w:qFormat/>
    <w:locked/>
    <w:uiPriority w:val="99"/>
    <w:rPr>
      <w:rFonts w:ascii="仿宋" w:hAnsi="仿宋" w:eastAsia="宋体" w:cs="Times New Roman"/>
      <w:color w:val="000000"/>
      <w:kern w:val="2"/>
      <w:sz w:val="24"/>
      <w:szCs w:val="24"/>
    </w:rPr>
  </w:style>
  <w:style w:type="paragraph" w:customStyle="1" w:styleId="64">
    <w:name w:val="YL表头"/>
    <w:basedOn w:val="9"/>
    <w:link w:val="66"/>
    <w:qFormat/>
    <w:uiPriority w:val="0"/>
    <w:pPr>
      <w:spacing w:beforeLines="30" w:afterLines="20"/>
      <w:jc w:val="center"/>
    </w:pPr>
    <w:rPr>
      <w:rFonts w:eastAsia="宋体"/>
      <w:b/>
      <w:sz w:val="21"/>
    </w:rPr>
  </w:style>
  <w:style w:type="paragraph" w:customStyle="1" w:styleId="65">
    <w:name w:val="YL图内容"/>
    <w:basedOn w:val="1"/>
    <w:link w:val="67"/>
    <w:qFormat/>
    <w:uiPriority w:val="99"/>
    <w:pPr>
      <w:spacing w:line="264" w:lineRule="auto"/>
      <w:jc w:val="center"/>
    </w:pPr>
    <w:rPr>
      <w:rFonts w:ascii="仿宋" w:hAnsi="仿宋"/>
      <w:color w:val="000000"/>
    </w:rPr>
  </w:style>
  <w:style w:type="character" w:customStyle="1" w:styleId="66">
    <w:name w:val="YL表头 Char"/>
    <w:basedOn w:val="26"/>
    <w:link w:val="64"/>
    <w:qFormat/>
    <w:locked/>
    <w:uiPriority w:val="0"/>
    <w:rPr>
      <w:rFonts w:ascii="Cambria" w:hAnsi="Cambria" w:eastAsia="宋体" w:cs="Times New Roman"/>
      <w:b/>
      <w:kern w:val="2"/>
      <w:sz w:val="21"/>
    </w:rPr>
  </w:style>
  <w:style w:type="character" w:customStyle="1" w:styleId="67">
    <w:name w:val="YL图内容 Char"/>
    <w:basedOn w:val="26"/>
    <w:link w:val="65"/>
    <w:qFormat/>
    <w:locked/>
    <w:uiPriority w:val="99"/>
    <w:rPr>
      <w:rFonts w:ascii="仿宋" w:hAnsi="仿宋" w:eastAsia="宋体" w:cs="Times New Roman"/>
      <w:color w:val="000000"/>
      <w:kern w:val="2"/>
      <w:sz w:val="24"/>
      <w:szCs w:val="24"/>
    </w:rPr>
  </w:style>
  <w:style w:type="paragraph" w:customStyle="1" w:styleId="68">
    <w:name w:val="YL四级"/>
    <w:basedOn w:val="1"/>
    <w:link w:val="69"/>
    <w:qFormat/>
    <w:uiPriority w:val="99"/>
    <w:pPr>
      <w:spacing w:beforeLines="50" w:afterLines="50"/>
      <w:ind w:firstLine="200" w:firstLineChars="200"/>
      <w:jc w:val="left"/>
      <w:outlineLvl w:val="3"/>
    </w:pPr>
    <w:rPr>
      <w:rFonts w:ascii="仿宋" w:hAnsi="仿宋"/>
      <w:b/>
      <w:color w:val="000000"/>
      <w:sz w:val="24"/>
    </w:rPr>
  </w:style>
  <w:style w:type="character" w:customStyle="1" w:styleId="69">
    <w:name w:val="YL四级 Char"/>
    <w:basedOn w:val="26"/>
    <w:link w:val="68"/>
    <w:qFormat/>
    <w:locked/>
    <w:uiPriority w:val="99"/>
    <w:rPr>
      <w:rFonts w:ascii="仿宋" w:hAnsi="仿宋" w:eastAsia="宋体" w:cs="Times New Roman"/>
      <w:b/>
      <w:color w:val="000000"/>
      <w:kern w:val="2"/>
      <w:sz w:val="24"/>
      <w:szCs w:val="24"/>
    </w:rPr>
  </w:style>
  <w:style w:type="paragraph" w:customStyle="1" w:styleId="70">
    <w:name w:val="YL六级"/>
    <w:basedOn w:val="1"/>
    <w:link w:val="71"/>
    <w:qFormat/>
    <w:uiPriority w:val="99"/>
    <w:pPr>
      <w:adjustRightInd w:val="0"/>
      <w:spacing w:beforeLines="50" w:afterLines="50"/>
      <w:ind w:firstLine="200" w:firstLineChars="200"/>
      <w:jc w:val="left"/>
      <w:outlineLvl w:val="5"/>
    </w:pPr>
    <w:rPr>
      <w:rFonts w:ascii="仿宋" w:hAnsi="仿宋"/>
      <w:b/>
      <w:color w:val="000000"/>
      <w:sz w:val="24"/>
    </w:rPr>
  </w:style>
  <w:style w:type="character" w:customStyle="1" w:styleId="71">
    <w:name w:val="YL六级 Char"/>
    <w:basedOn w:val="26"/>
    <w:link w:val="70"/>
    <w:qFormat/>
    <w:locked/>
    <w:uiPriority w:val="99"/>
    <w:rPr>
      <w:rFonts w:ascii="仿宋" w:hAnsi="仿宋" w:eastAsia="宋体" w:cs="Times New Roman"/>
      <w:b/>
      <w:color w:val="000000"/>
      <w:kern w:val="2"/>
      <w:sz w:val="24"/>
      <w:szCs w:val="24"/>
    </w:rPr>
  </w:style>
  <w:style w:type="paragraph" w:customStyle="1" w:styleId="72">
    <w:name w:val="YL五级"/>
    <w:basedOn w:val="1"/>
    <w:link w:val="73"/>
    <w:qFormat/>
    <w:uiPriority w:val="99"/>
    <w:pPr>
      <w:adjustRightInd w:val="0"/>
      <w:spacing w:beforeLines="50" w:afterLines="50"/>
      <w:ind w:firstLine="200" w:firstLineChars="200"/>
      <w:jc w:val="left"/>
      <w:outlineLvl w:val="4"/>
    </w:pPr>
    <w:rPr>
      <w:rFonts w:ascii="仿宋" w:hAnsi="仿宋"/>
      <w:b/>
      <w:color w:val="000000"/>
      <w:sz w:val="24"/>
    </w:rPr>
  </w:style>
  <w:style w:type="character" w:customStyle="1" w:styleId="73">
    <w:name w:val="YL五级 Char"/>
    <w:basedOn w:val="26"/>
    <w:link w:val="72"/>
    <w:qFormat/>
    <w:locked/>
    <w:uiPriority w:val="99"/>
    <w:rPr>
      <w:rFonts w:ascii="仿宋" w:hAnsi="仿宋" w:eastAsia="宋体" w:cs="Times New Roman"/>
      <w:b/>
      <w:color w:val="000000"/>
      <w:kern w:val="2"/>
      <w:sz w:val="24"/>
      <w:szCs w:val="24"/>
    </w:rPr>
  </w:style>
  <w:style w:type="paragraph" w:customStyle="1" w:styleId="74">
    <w:name w:val="YL二级"/>
    <w:basedOn w:val="1"/>
    <w:link w:val="76"/>
    <w:qFormat/>
    <w:uiPriority w:val="99"/>
    <w:pPr>
      <w:adjustRightInd w:val="0"/>
      <w:spacing w:beforeLines="50" w:afterLines="50"/>
      <w:jc w:val="left"/>
      <w:outlineLvl w:val="1"/>
    </w:pPr>
    <w:rPr>
      <w:rFonts w:ascii="宋体" w:hAnsi="宋体"/>
      <w:b/>
      <w:bCs/>
      <w:sz w:val="28"/>
    </w:rPr>
  </w:style>
  <w:style w:type="paragraph" w:customStyle="1" w:styleId="75">
    <w:name w:val="YL三级"/>
    <w:basedOn w:val="1"/>
    <w:link w:val="77"/>
    <w:qFormat/>
    <w:uiPriority w:val="99"/>
    <w:pPr>
      <w:adjustRightInd w:val="0"/>
      <w:spacing w:beforeLines="50" w:afterLines="50"/>
      <w:outlineLvl w:val="2"/>
    </w:pPr>
    <w:rPr>
      <w:rFonts w:ascii="宋体" w:hAnsi="宋体"/>
      <w:b/>
      <w:bCs/>
      <w:sz w:val="24"/>
    </w:rPr>
  </w:style>
  <w:style w:type="character" w:customStyle="1" w:styleId="76">
    <w:name w:val="YL二级 Char"/>
    <w:basedOn w:val="26"/>
    <w:link w:val="74"/>
    <w:qFormat/>
    <w:locked/>
    <w:uiPriority w:val="99"/>
    <w:rPr>
      <w:rFonts w:ascii="宋体" w:hAnsi="宋体" w:eastAsia="宋体" w:cs="Times New Roman"/>
      <w:b/>
      <w:bCs/>
      <w:kern w:val="2"/>
      <w:sz w:val="24"/>
      <w:szCs w:val="24"/>
    </w:rPr>
  </w:style>
  <w:style w:type="character" w:customStyle="1" w:styleId="77">
    <w:name w:val="YL三级 Char"/>
    <w:basedOn w:val="26"/>
    <w:link w:val="75"/>
    <w:qFormat/>
    <w:locked/>
    <w:uiPriority w:val="99"/>
    <w:rPr>
      <w:rFonts w:ascii="宋体" w:hAnsi="宋体" w:eastAsia="宋体" w:cs="Times New Roman"/>
      <w:b/>
      <w:bCs/>
      <w:kern w:val="2"/>
      <w:sz w:val="24"/>
      <w:szCs w:val="24"/>
    </w:rPr>
  </w:style>
  <w:style w:type="character" w:customStyle="1" w:styleId="78">
    <w:name w:val="apple-style-span"/>
    <w:basedOn w:val="26"/>
    <w:qFormat/>
    <w:uiPriority w:val="99"/>
    <w:rPr>
      <w:rFonts w:cs="Times New Roman"/>
    </w:rPr>
  </w:style>
  <w:style w:type="paragraph" w:customStyle="1" w:styleId="79">
    <w:name w:val="招股正文格式"/>
    <w:basedOn w:val="1"/>
    <w:link w:val="80"/>
    <w:qFormat/>
    <w:uiPriority w:val="99"/>
    <w:pPr>
      <w:spacing w:beforeLines="50" w:line="360" w:lineRule="auto"/>
      <w:ind w:firstLine="200" w:firstLineChars="200"/>
    </w:pPr>
    <w:rPr>
      <w:kern w:val="0"/>
      <w:sz w:val="24"/>
      <w:szCs w:val="20"/>
    </w:rPr>
  </w:style>
  <w:style w:type="character" w:customStyle="1" w:styleId="80">
    <w:name w:val="招股正文格式 Char"/>
    <w:link w:val="79"/>
    <w:qFormat/>
    <w:locked/>
    <w:uiPriority w:val="99"/>
    <w:rPr>
      <w:sz w:val="24"/>
    </w:rPr>
  </w:style>
  <w:style w:type="character" w:customStyle="1" w:styleId="81">
    <w:name w:val="日期 Char"/>
    <w:basedOn w:val="26"/>
    <w:link w:val="14"/>
    <w:semiHidden/>
    <w:qFormat/>
    <w:locked/>
    <w:uiPriority w:val="99"/>
    <w:rPr>
      <w:rFonts w:cs="Times New Roman"/>
      <w:sz w:val="24"/>
      <w:szCs w:val="24"/>
    </w:rPr>
  </w:style>
  <w:style w:type="paragraph" w:customStyle="1" w:styleId="82">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3">
    <w:name w:val="Char Char Char Char Char Char Char Char Char Char Char Char Char Char Char Char"/>
    <w:basedOn w:val="1"/>
    <w:qFormat/>
    <w:uiPriority w:val="99"/>
    <w:pPr>
      <w:tabs>
        <w:tab w:val="left" w:pos="360"/>
      </w:tabs>
    </w:pPr>
  </w:style>
  <w:style w:type="character" w:customStyle="1" w:styleId="84">
    <w:name w:val="文档结构图 Char"/>
    <w:basedOn w:val="26"/>
    <w:link w:val="10"/>
    <w:semiHidden/>
    <w:qFormat/>
    <w:locked/>
    <w:uiPriority w:val="99"/>
    <w:rPr>
      <w:rFonts w:cs="Times New Roman"/>
      <w:sz w:val="2"/>
    </w:rPr>
  </w:style>
  <w:style w:type="character" w:customStyle="1" w:styleId="85">
    <w:name w:val="标题 2 Char"/>
    <w:basedOn w:val="26"/>
    <w:link w:val="5"/>
    <w:semiHidden/>
    <w:qFormat/>
    <w:uiPriority w:val="9"/>
    <w:rPr>
      <w:rFonts w:ascii="Cambria" w:hAnsi="Cambria" w:eastAsia="宋体" w:cs="Times New Roman"/>
      <w:b/>
      <w:bCs/>
      <w:kern w:val="2"/>
      <w:sz w:val="32"/>
      <w:szCs w:val="32"/>
    </w:rPr>
  </w:style>
  <w:style w:type="character" w:customStyle="1" w:styleId="86">
    <w:name w:val="标题 4 Char"/>
    <w:basedOn w:val="26"/>
    <w:link w:val="7"/>
    <w:qFormat/>
    <w:uiPriority w:val="0"/>
    <w:rPr>
      <w:rFonts w:ascii="Arial" w:hAnsi="Arial" w:eastAsia="黑体"/>
      <w:b/>
      <w:bCs/>
      <w:kern w:val="2"/>
      <w:sz w:val="28"/>
      <w:szCs w:val="28"/>
    </w:rPr>
  </w:style>
  <w:style w:type="character" w:customStyle="1" w:styleId="87">
    <w:name w:val="表格内容 Char"/>
    <w:link w:val="88"/>
    <w:qFormat/>
    <w:uiPriority w:val="0"/>
    <w:rPr>
      <w:rFonts w:ascii="宋体" w:hAnsi="宋体"/>
      <w:spacing w:val="-2"/>
      <w:kern w:val="2"/>
      <w:sz w:val="21"/>
      <w:szCs w:val="18"/>
    </w:rPr>
  </w:style>
  <w:style w:type="paragraph" w:customStyle="1" w:styleId="88">
    <w:name w:val="表格内容"/>
    <w:basedOn w:val="1"/>
    <w:link w:val="87"/>
    <w:qFormat/>
    <w:uiPriority w:val="0"/>
    <w:pPr>
      <w:widowControl/>
      <w:spacing w:line="300" w:lineRule="auto"/>
      <w:jc w:val="left"/>
    </w:pPr>
    <w:rPr>
      <w:rFonts w:ascii="宋体" w:hAnsi="宋体"/>
      <w:spacing w:val="-2"/>
      <w:szCs w:val="18"/>
    </w:rPr>
  </w:style>
  <w:style w:type="character" w:customStyle="1" w:styleId="89">
    <w:name w:val="批注引用1"/>
    <w:qFormat/>
    <w:uiPriority w:val="0"/>
    <w:rPr>
      <w:sz w:val="21"/>
      <w:szCs w:val="21"/>
    </w:rPr>
  </w:style>
  <w:style w:type="character" w:customStyle="1" w:styleId="90">
    <w:name w:val="css031"/>
    <w:qFormat/>
    <w:uiPriority w:val="0"/>
    <w:rPr>
      <w:sz w:val="18"/>
      <w:szCs w:val="18"/>
    </w:rPr>
  </w:style>
  <w:style w:type="paragraph" w:customStyle="1" w:styleId="91">
    <w:name w:val="招股书正文"/>
    <w:basedOn w:val="1"/>
    <w:qFormat/>
    <w:uiPriority w:val="0"/>
    <w:pPr>
      <w:snapToGrid w:val="0"/>
      <w:spacing w:line="500" w:lineRule="exact"/>
      <w:ind w:right="-74" w:firstLine="200" w:firstLineChars="200"/>
    </w:pPr>
    <w:rPr>
      <w:rFonts w:ascii="宋体" w:hAnsi="宋体"/>
      <w:sz w:val="24"/>
    </w:rPr>
  </w:style>
  <w:style w:type="character" w:customStyle="1" w:styleId="92">
    <w:name w:val="正文文本缩进 2 Char"/>
    <w:qFormat/>
    <w:uiPriority w:val="0"/>
    <w:rPr>
      <w:kern w:val="2"/>
      <w:sz w:val="21"/>
      <w:szCs w:val="24"/>
    </w:rPr>
  </w:style>
  <w:style w:type="character" w:customStyle="1" w:styleId="93">
    <w:name w:val="正文文本缩进 2 Char1"/>
    <w:basedOn w:val="26"/>
    <w:link w:val="15"/>
    <w:semiHidden/>
    <w:qFormat/>
    <w:uiPriority w:val="99"/>
    <w:rPr>
      <w:kern w:val="2"/>
      <w:sz w:val="21"/>
      <w:szCs w:val="24"/>
    </w:rPr>
  </w:style>
  <w:style w:type="character" w:customStyle="1" w:styleId="94">
    <w:name w:val="样式7 Char"/>
    <w:link w:val="95"/>
    <w:qFormat/>
    <w:uiPriority w:val="0"/>
    <w:rPr>
      <w:kern w:val="2"/>
      <w:sz w:val="21"/>
      <w:szCs w:val="24"/>
    </w:rPr>
  </w:style>
  <w:style w:type="paragraph" w:customStyle="1" w:styleId="95">
    <w:name w:val="样式7"/>
    <w:basedOn w:val="1"/>
    <w:next w:val="1"/>
    <w:link w:val="94"/>
    <w:qFormat/>
    <w:uiPriority w:val="0"/>
    <w:pPr>
      <w:ind w:firstLine="200" w:firstLineChars="200"/>
      <w:jc w:val="left"/>
    </w:pPr>
  </w:style>
  <w:style w:type="character" w:customStyle="1" w:styleId="96">
    <w:name w:val="hei141"/>
    <w:qFormat/>
    <w:uiPriority w:val="0"/>
    <w:rPr>
      <w:rFonts w:hint="eastAsia" w:ascii="宋体" w:hAnsi="宋体" w:eastAsia="宋体"/>
      <w:color w:val="000000"/>
      <w:sz w:val="21"/>
      <w:szCs w:val="21"/>
      <w:u w:val="none"/>
    </w:rPr>
  </w:style>
  <w:style w:type="character" w:customStyle="1" w:styleId="97">
    <w:name w:val="样式3 Char Char"/>
    <w:link w:val="98"/>
    <w:qFormat/>
    <w:uiPriority w:val="0"/>
    <w:rPr>
      <w:rFonts w:ascii="宋体" w:hAnsi="宋体"/>
      <w:b/>
      <w:color w:val="000000"/>
      <w:kern w:val="2"/>
      <w:sz w:val="21"/>
      <w:szCs w:val="21"/>
    </w:rPr>
  </w:style>
  <w:style w:type="paragraph" w:customStyle="1" w:styleId="98">
    <w:name w:val="样式3"/>
    <w:basedOn w:val="1"/>
    <w:link w:val="97"/>
    <w:qFormat/>
    <w:uiPriority w:val="0"/>
    <w:pPr>
      <w:jc w:val="center"/>
    </w:pPr>
    <w:rPr>
      <w:rFonts w:ascii="宋体" w:hAnsi="宋体"/>
      <w:b/>
      <w:color w:val="000000"/>
      <w:szCs w:val="21"/>
    </w:rPr>
  </w:style>
  <w:style w:type="paragraph" w:customStyle="1" w:styleId="99">
    <w:name w:val="正文文本缩进1"/>
    <w:basedOn w:val="1"/>
    <w:qFormat/>
    <w:uiPriority w:val="0"/>
    <w:pPr>
      <w:spacing w:line="420" w:lineRule="exact"/>
      <w:ind w:firstLine="435"/>
    </w:pPr>
    <w:rPr>
      <w:szCs w:val="20"/>
    </w:rPr>
  </w:style>
  <w:style w:type="paragraph" w:customStyle="1" w:styleId="100">
    <w:name w:val="aSTL正文"/>
    <w:basedOn w:val="1"/>
    <w:link w:val="101"/>
    <w:qFormat/>
    <w:uiPriority w:val="0"/>
    <w:pPr>
      <w:spacing w:line="300" w:lineRule="auto"/>
      <w:ind w:firstLine="200" w:firstLineChars="200"/>
    </w:pPr>
    <w:rPr>
      <w:rFonts w:ascii="Calibri" w:hAnsi="Calibri"/>
      <w:kern w:val="0"/>
      <w:sz w:val="24"/>
      <w:szCs w:val="20"/>
    </w:rPr>
  </w:style>
  <w:style w:type="character" w:customStyle="1" w:styleId="101">
    <w:name w:val="aSTL正文 Char"/>
    <w:link w:val="100"/>
    <w:qFormat/>
    <w:uiPriority w:val="0"/>
    <w:rPr>
      <w:rFonts w:ascii="Calibri" w:hAnsi="Calibri"/>
      <w:sz w:val="24"/>
    </w:rPr>
  </w:style>
  <w:style w:type="paragraph" w:customStyle="1" w:styleId="102">
    <w:name w:val="4.7.2.1.1"/>
    <w:basedOn w:val="1"/>
    <w:link w:val="103"/>
    <w:qFormat/>
    <w:uiPriority w:val="0"/>
    <w:pPr>
      <w:tabs>
        <w:tab w:val="left" w:pos="142"/>
      </w:tabs>
      <w:spacing w:beforeLines="50" w:afterLines="50"/>
      <w:ind w:firstLine="200" w:firstLineChars="200"/>
      <w:jc w:val="left"/>
      <w:outlineLvl w:val="3"/>
    </w:pPr>
    <w:rPr>
      <w:rFonts w:ascii="宋体" w:hAnsi="宋体"/>
      <w:b/>
      <w:color w:val="000000"/>
      <w:kern w:val="0"/>
      <w:sz w:val="24"/>
    </w:rPr>
  </w:style>
  <w:style w:type="character" w:customStyle="1" w:styleId="103">
    <w:name w:val="4.7.2.1.1 Char"/>
    <w:link w:val="102"/>
    <w:qFormat/>
    <w:uiPriority w:val="0"/>
    <w:rPr>
      <w:rFonts w:ascii="宋体" w:hAnsi="宋体"/>
      <w:b/>
      <w:color w:val="000000"/>
      <w:sz w:val="24"/>
      <w:szCs w:val="24"/>
    </w:rPr>
  </w:style>
  <w:style w:type="character" w:customStyle="1" w:styleId="104">
    <w:name w:val="apple-converted-space"/>
    <w:basedOn w:val="26"/>
    <w:qFormat/>
    <w:uiPriority w:val="0"/>
  </w:style>
  <w:style w:type="character" w:customStyle="1" w:styleId="105">
    <w:name w:val="标题 2a"/>
    <w:qFormat/>
    <w:uiPriority w:val="0"/>
    <w:rPr>
      <w:rFonts w:ascii="Times New Roman" w:hAnsi="Times New Roman" w:eastAsia="宋体"/>
      <w:b/>
      <w:bCs/>
      <w:kern w:val="2"/>
      <w:sz w:val="24"/>
      <w:szCs w:val="24"/>
      <w:lang w:val="en-US" w:eastAsia="zh-CN" w:bidi="ar-SA"/>
    </w:rPr>
  </w:style>
  <w:style w:type="character" w:customStyle="1" w:styleId="106">
    <w:name w:val="XN图标 Char"/>
    <w:link w:val="107"/>
    <w:qFormat/>
    <w:uiPriority w:val="0"/>
    <w:rPr>
      <w:rFonts w:ascii="仿宋" w:hAnsi="仿宋" w:eastAsia="仿宋"/>
      <w:color w:val="000000"/>
      <w:kern w:val="2"/>
      <w:sz w:val="21"/>
      <w:szCs w:val="24"/>
    </w:rPr>
  </w:style>
  <w:style w:type="paragraph" w:customStyle="1" w:styleId="107">
    <w:name w:val="XN图标"/>
    <w:basedOn w:val="1"/>
    <w:link w:val="106"/>
    <w:qFormat/>
    <w:uiPriority w:val="0"/>
    <w:pPr>
      <w:spacing w:line="264" w:lineRule="auto"/>
      <w:jc w:val="center"/>
    </w:pPr>
    <w:rPr>
      <w:rFonts w:ascii="仿宋" w:hAnsi="仿宋" w:eastAsia="仿宋"/>
      <w:color w:val="000000"/>
    </w:rPr>
  </w:style>
  <w:style w:type="paragraph" w:customStyle="1" w:styleId="108">
    <w:name w:val="正文 New"/>
    <w:qFormat/>
    <w:uiPriority w:val="0"/>
    <w:pPr>
      <w:widowControl w:val="0"/>
      <w:spacing w:beforeLines="50" w:afterLines="50" w:line="440" w:lineRule="exact"/>
      <w:ind w:firstLine="640" w:firstLineChars="200"/>
      <w:jc w:val="both"/>
    </w:pPr>
    <w:rPr>
      <w:rFonts w:ascii="Times New Roman" w:hAnsi="Times New Roman" w:eastAsia="宋体" w:cs="Times New Roman"/>
      <w:sz w:val="24"/>
      <w:szCs w:val="24"/>
      <w:lang w:val="en-US" w:eastAsia="zh-CN" w:bidi="ar-SA"/>
    </w:rPr>
  </w:style>
  <w:style w:type="character" w:customStyle="1" w:styleId="109">
    <w:name w:val="(1) Char"/>
    <w:link w:val="110"/>
    <w:qFormat/>
    <w:uiPriority w:val="0"/>
    <w:rPr>
      <w:rFonts w:ascii="仿宋" w:hAnsi="宋体" w:eastAsia="仿宋"/>
      <w:szCs w:val="21"/>
    </w:rPr>
  </w:style>
  <w:style w:type="paragraph" w:customStyle="1" w:styleId="110">
    <w:name w:val="(1)"/>
    <w:basedOn w:val="1"/>
    <w:link w:val="109"/>
    <w:qFormat/>
    <w:uiPriority w:val="0"/>
    <w:pPr>
      <w:spacing w:line="360" w:lineRule="auto"/>
      <w:ind w:firstLine="420" w:firstLineChars="200"/>
    </w:pPr>
    <w:rPr>
      <w:rFonts w:ascii="仿宋" w:hAnsi="宋体" w:eastAsia="仿宋"/>
      <w:kern w:val="0"/>
      <w:sz w:val="20"/>
      <w:szCs w:val="21"/>
    </w:rPr>
  </w:style>
  <w:style w:type="character" w:customStyle="1" w:styleId="111">
    <w:name w:val="表格内容陈 Char Char"/>
    <w:link w:val="112"/>
    <w:qFormat/>
    <w:uiPriority w:val="0"/>
    <w:rPr>
      <w:rFonts w:cs="宋体"/>
      <w:color w:val="000000"/>
      <w:sz w:val="21"/>
      <w:szCs w:val="21"/>
    </w:rPr>
  </w:style>
  <w:style w:type="paragraph" w:customStyle="1" w:styleId="112">
    <w:name w:val="表格内容陈"/>
    <w:basedOn w:val="1"/>
    <w:link w:val="111"/>
    <w:qFormat/>
    <w:uiPriority w:val="0"/>
    <w:pPr>
      <w:widowControl/>
      <w:adjustRightInd w:val="0"/>
      <w:snapToGrid w:val="0"/>
      <w:spacing w:line="360" w:lineRule="exact"/>
      <w:jc w:val="left"/>
    </w:pPr>
    <w:rPr>
      <w:rFonts w:cs="宋体"/>
      <w:color w:val="000000"/>
      <w:kern w:val="0"/>
      <w:szCs w:val="21"/>
    </w:rPr>
  </w:style>
  <w:style w:type="character" w:customStyle="1" w:styleId="113">
    <w:name w:val="表样式1 Char Char"/>
    <w:link w:val="114"/>
    <w:qFormat/>
    <w:uiPriority w:val="0"/>
    <w:rPr>
      <w:b/>
      <w:bCs/>
      <w:color w:val="000000"/>
      <w:kern w:val="2"/>
      <w:sz w:val="21"/>
      <w:szCs w:val="24"/>
    </w:rPr>
  </w:style>
  <w:style w:type="paragraph" w:customStyle="1" w:styleId="114">
    <w:name w:val="表样式1"/>
    <w:basedOn w:val="1"/>
    <w:link w:val="113"/>
    <w:qFormat/>
    <w:uiPriority w:val="0"/>
    <w:pPr>
      <w:spacing w:line="400" w:lineRule="exact"/>
      <w:jc w:val="center"/>
    </w:pPr>
    <w:rPr>
      <w:b/>
      <w:bCs/>
      <w:color w:val="000000"/>
    </w:rPr>
  </w:style>
  <w:style w:type="paragraph" w:customStyle="1" w:styleId="115">
    <w:name w:val="WPSOffice手动目录 1"/>
    <w:qFormat/>
    <w:uiPriority w:val="0"/>
    <w:rPr>
      <w:rFonts w:ascii="Times New Roman" w:hAnsi="Times New Roman" w:eastAsia="宋体" w:cs="Times New Roman"/>
      <w:lang w:val="en-US" w:eastAsia="zh-CN" w:bidi="ar-SA"/>
    </w:rPr>
  </w:style>
  <w:style w:type="paragraph" w:customStyle="1" w:styleId="116">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117">
    <w:name w:val="批注主题 Char"/>
    <w:basedOn w:val="55"/>
    <w:link w:val="22"/>
    <w:semiHidden/>
    <w:qFormat/>
    <w:uiPriority w:val="99"/>
    <w:rPr>
      <w:rFonts w:cs="Times New Roman"/>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4.jpeg"/><Relationship Id="rId20" Type="http://schemas.openxmlformats.org/officeDocument/2006/relationships/image" Target="media/image13.jpeg"/><Relationship Id="rId2" Type="http://schemas.openxmlformats.org/officeDocument/2006/relationships/settings" Target="settings.xml"/><Relationship Id="rId19" Type="http://schemas.openxmlformats.org/officeDocument/2006/relationships/image" Target="media/image12.jpeg"/><Relationship Id="rId18" Type="http://schemas.openxmlformats.org/officeDocument/2006/relationships/image" Target="media/image11.jpeg"/><Relationship Id="rId17" Type="http://schemas.openxmlformats.org/officeDocument/2006/relationships/image" Target="media/image10.jpeg"/><Relationship Id="rId16" Type="http://schemas.openxmlformats.org/officeDocument/2006/relationships/image" Target="media/image9.jpeg"/><Relationship Id="rId15" Type="http://schemas.openxmlformats.org/officeDocument/2006/relationships/image" Target="media/image8.jpeg"/><Relationship Id="rId14" Type="http://schemas.openxmlformats.org/officeDocument/2006/relationships/image" Target="media/image7.jpe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49"/>
    <customShpInfo spid="_x0000_s2050"/>
    <customShpInfo spid="_x0000_s2051"/>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8"/>
    <customShpInfo spid="_x0000_s1067"/>
    <customShpInfo spid="_x0000_s1069"/>
    <customShpInfo spid="_x0000_s1070"/>
    <customShpInfo spid="_x0000_s1071"/>
    <customShpInfo spid="_x0000_s1072"/>
    <customShpInfo spid="_x0000_s1073"/>
    <customShpInfo spid="_x0000_s1074"/>
    <customShpInfo spid="_x0000_s1075"/>
    <customShpInfo spid="_x0000_s1076"/>
    <customShpInfo spid="_x0000_s1077"/>
    <customShpInfo spid="_x0000_s1078"/>
    <customShpInfo spid="_x0000_s1079"/>
    <customShpInfo spid="_x0000_s1080"/>
    <customShpInfo spid="_x0000_s1081"/>
    <customShpInfo spid="_x0000_s1082"/>
    <customShpInfo spid="_x0000_s1083"/>
    <customShpInfo spid="_x0000_s1084"/>
    <customShpInfo spid="_x0000_s1085"/>
    <customShpInfo spid="_x0000_s1086"/>
    <customShpInfo spid="_x0000_s1087"/>
  </customShpExts>
</s:customData>
</file>

<file path=customXml/item2.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70A2FA-0659-4F1B-A695-D8DF2DAC7A62}">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23</Pages>
  <Words>11865</Words>
  <Characters>12326</Characters>
  <Lines>98</Lines>
  <Paragraphs>27</Paragraphs>
  <TotalTime>23</TotalTime>
  <ScaleCrop>false</ScaleCrop>
  <LinksUpToDate>false</LinksUpToDate>
  <CharactersWithSpaces>12405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2020-04-18T13:33:00Z</dcterms:created>
  <dc:creator>边晨</dc:creator>
  <cp:lastModifiedBy>MOGU</cp:lastModifiedBy>
  <cp:lastPrinted>2017-11-18T09:45:00Z</cp:lastPrinted>
  <dcterms:modified xsi:type="dcterms:W3CDTF">2026-05-29T02:29:38Z</dcterms:modified>
  <dc:title>目  次</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18B9790B8B29BF7B34C6E669415A0D05_42</vt:lpwstr>
  </property>
  <property fmtid="{D5CDD505-2E9C-101B-9397-08002B2CF9AE}" pid="4" name="KSOTemplateDocerSaveRecord">
    <vt:lpwstr>eyJoZGlkIjoiZWQyMTQzYmEyNTAxZjk4MjU3NDFmYzkxMjMxOTcwOTEiLCJ1c2VySWQiOiIzNzcxMDkzNTMifQ==</vt:lpwstr>
  </property>
</Properties>
</file>